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6" w:line="16824" w:lineRule="exact"/>
        <w:textAlignment w:val="center"/>
        <w:rPr/>
      </w:pPr>
      <w:r>
        <w:drawing>
          <wp:inline distT="0" distB="0" distL="0" distR="0">
            <wp:extent cx="7550150" cy="10683240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00" w:h="16840"/>
          <w:pgMar w:top="1" w:right="5" w:bottom="1" w:left="4" w:header="0" w:footer="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9"/>
          <w:szCs w:val="29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3711"/>
            <w:spacing w:before="94" w:line="228" w:lineRule="auto"/>
            <w:rPr>
              <w:rFonts w:ascii="SimSun" w:hAnsi="SimSun" w:eastAsia="SimSun" w:cs="SimSun"/>
              <w:sz w:val="29"/>
              <w:szCs w:val="29"/>
            </w:rPr>
          </w:pPr>
          <w:bookmarkStart w:name="_bookmark1" w:id="1"/>
          <w:bookmarkEnd w:id="1"/>
          <w:r>
            <w:rPr>
              <w:rFonts w:ascii="SimSun" w:hAnsi="SimSun" w:eastAsia="SimSun" w:cs="SimSun"/>
              <w:sz w:val="29"/>
              <w:szCs w:val="29"/>
              <w:spacing w:val="-9"/>
            </w:rPr>
            <w:t>目</w:t>
          </w:r>
          <w:r>
            <w:rPr>
              <w:rFonts w:ascii="SimSun" w:hAnsi="SimSun" w:eastAsia="SimSun" w:cs="SimSun"/>
              <w:sz w:val="29"/>
              <w:szCs w:val="29"/>
              <w:spacing w:val="-6"/>
            </w:rPr>
            <w:t xml:space="preserve">   </w:t>
          </w:r>
          <w:r>
            <w:rPr>
              <w:rFonts w:ascii="SimSun" w:hAnsi="SimSun" w:eastAsia="SimSun" w:cs="SimSun"/>
              <w:sz w:val="29"/>
              <w:szCs w:val="29"/>
              <w:spacing w:val="-6"/>
            </w:rPr>
            <w:t>录</w:t>
          </w:r>
        </w:p>
        <w:p>
          <w:pPr>
            <w:spacing w:line="316" w:lineRule="auto"/>
            <w:rPr>
              <w:rFonts w:ascii="Arial"/>
              <w:sz w:val="21"/>
            </w:rPr>
          </w:pPr>
          <w:r/>
        </w:p>
        <w:p>
          <w:pPr>
            <w:ind w:left="27"/>
            <w:spacing w:before="91" w:line="23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2"/>
            </w:rPr>
            <w:t>一、总体概况</w:t>
          </w:r>
          <w:r>
            <w:rPr>
              <w:rFonts w:ascii="SimSun" w:hAnsi="SimSun" w:eastAsia="SimSun" w:cs="SimSun"/>
              <w:sz w:val="28"/>
              <w:szCs w:val="28"/>
              <w:spacing w:val="-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1"/>
            </w:rPr>
            <w:t xml:space="preserve"> </w:t>
          </w:r>
          <w:hyperlink w:history="true" w:anchor="_bookmark2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"/>
              </w:rPr>
              <w:t>1</w:t>
            </w:r>
          </w:hyperlink>
        </w:p>
        <w:p>
          <w:pPr>
            <w:ind w:left="30"/>
            <w:spacing w:before="77" w:line="21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1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>一)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>学</w:t>
          </w:r>
          <w:r>
            <w:rPr>
              <w:rFonts w:ascii="SimSun" w:hAnsi="SimSun" w:eastAsia="SimSun" w:cs="SimSun"/>
              <w:sz w:val="28"/>
              <w:szCs w:val="28"/>
            </w:rPr>
            <w:t>位授权点基本情况</w:t>
          </w:r>
          <w:r>
            <w:rPr>
              <w:rFonts w:ascii="SimSun" w:hAnsi="SimSun" w:eastAsia="SimSun" w:cs="SimSun"/>
              <w:sz w:val="28"/>
              <w:szCs w:val="28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</w:rPr>
            <w:t xml:space="preserve"> </w:t>
          </w:r>
          <w:hyperlink w:history="true" w:anchor="_bookmark3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</w:t>
            </w:r>
          </w:hyperlink>
        </w:p>
        <w:p>
          <w:pPr>
            <w:ind w:left="30"/>
            <w:spacing w:before="107" w:line="21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9"/>
            </w:rPr>
            <w:t>(二)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>培养目标与培养方向简介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hyperlink w:history="true" w:anchor="_bookmark1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7"/>
              </w:rPr>
              <w:t>2</w:t>
            </w:r>
          </w:hyperlink>
        </w:p>
        <w:p>
          <w:pPr>
            <w:ind w:left="30"/>
            <w:spacing w:before="109" w:line="21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18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>三)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>研究生规模及结构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hyperlink w:history="true" w:anchor="_bookmark4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9"/>
              </w:rPr>
              <w:t>3</w:t>
            </w:r>
          </w:hyperlink>
        </w:p>
        <w:p>
          <w:pPr>
            <w:ind w:left="27"/>
            <w:spacing w:before="106" w:line="237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2"/>
            </w:rPr>
            <w:t>二、研究生党建与思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>想政治教育工作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hyperlink w:history="true" w:anchor="_bookmark5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"/>
              </w:rPr>
              <w:t>3</w:t>
            </w:r>
          </w:hyperlink>
        </w:p>
        <w:p>
          <w:pPr>
            <w:ind w:left="30"/>
            <w:spacing w:before="79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1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>一)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1"/>
            </w:rPr>
            <w:t>思</w:t>
          </w:r>
          <w:r>
            <w:rPr>
              <w:rFonts w:ascii="SimSun" w:hAnsi="SimSun" w:eastAsia="SimSun" w:cs="SimSun"/>
              <w:sz w:val="28"/>
              <w:szCs w:val="28"/>
            </w:rPr>
            <w:t>政课程与课程思政</w:t>
          </w:r>
          <w:r>
            <w:rPr>
              <w:rFonts w:ascii="SimSun" w:hAnsi="SimSun" w:eastAsia="SimSun" w:cs="SimSun"/>
              <w:sz w:val="28"/>
              <w:szCs w:val="28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</w:rPr>
            <w:t xml:space="preserve"> </w:t>
          </w:r>
          <w:hyperlink w:history="true" w:anchor="_bookmark6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hyperlink>
        </w:p>
        <w:p>
          <w:pPr>
            <w:ind w:left="30"/>
            <w:spacing w:before="107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9"/>
            </w:rPr>
            <w:t>(二)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>思想政治教育队伍建设</w:t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9"/>
            </w:rPr>
            <w:t xml:space="preserve"> </w:t>
          </w:r>
          <w:hyperlink w:history="true" w:anchor="_bookmark7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9"/>
              </w:rPr>
              <w:t>4</w:t>
            </w:r>
          </w:hyperlink>
        </w:p>
        <w:p>
          <w:pPr>
            <w:ind w:left="30"/>
            <w:spacing w:before="106" w:line="21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14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8"/>
            </w:rPr>
            <w:t>三)</w:t>
          </w:r>
          <w:r>
            <w:rPr>
              <w:rFonts w:ascii="SimSun" w:hAnsi="SimSun" w:eastAsia="SimSun" w:cs="SimSun"/>
              <w:sz w:val="28"/>
              <w:szCs w:val="28"/>
              <w:spacing w:val="8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8"/>
            </w:rPr>
            <w:t>研究生党建与校园文化建设</w:t>
          </w:r>
          <w:r>
            <w:rPr>
              <w:rFonts w:ascii="SimSun" w:hAnsi="SimSun" w:eastAsia="SimSun" w:cs="SimSun"/>
              <w:sz w:val="28"/>
              <w:szCs w:val="28"/>
              <w:spacing w:val="8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8"/>
            </w:rPr>
            <w:t xml:space="preserve"> </w:t>
          </w:r>
          <w:hyperlink w:history="true" w:anchor="_bookmark8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8"/>
              </w:rPr>
              <w:t>5</w:t>
            </w:r>
          </w:hyperlink>
        </w:p>
        <w:p>
          <w:pPr>
            <w:ind w:left="22"/>
            <w:spacing w:before="106" w:line="237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10"/>
            </w:rPr>
            <w:t>三、</w:t>
          </w:r>
          <w:r>
            <w:rPr>
              <w:rFonts w:ascii="SimSun" w:hAnsi="SimSun" w:eastAsia="SimSun" w:cs="SimSun"/>
              <w:sz w:val="28"/>
              <w:szCs w:val="28"/>
              <w:spacing w:val="-7"/>
            </w:rPr>
            <w:t>研</w:t>
          </w:r>
          <w:r>
            <w:rPr>
              <w:rFonts w:ascii="SimSun" w:hAnsi="SimSun" w:eastAsia="SimSun" w:cs="SimSun"/>
              <w:sz w:val="28"/>
              <w:szCs w:val="28"/>
              <w:spacing w:val="-5"/>
            </w:rPr>
            <w:t>究生培养与教学工作</w:t>
          </w:r>
          <w:r>
            <w:rPr>
              <w:rFonts w:ascii="SimSun" w:hAnsi="SimSun" w:eastAsia="SimSun" w:cs="SimSun"/>
              <w:sz w:val="28"/>
              <w:szCs w:val="28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5"/>
            </w:rPr>
            <w:t xml:space="preserve"> </w:t>
          </w:r>
          <w:hyperlink w:history="true" w:anchor="_bookmark9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1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-5"/>
            </w:rPr>
            <w:t>3</w:t>
          </w:r>
        </w:p>
        <w:p>
          <w:pPr>
            <w:ind w:left="30"/>
            <w:spacing w:before="83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(一)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师资队伍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10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1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3</w:t>
          </w:r>
        </w:p>
        <w:p>
          <w:pPr>
            <w:ind w:left="30"/>
            <w:spacing w:before="105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6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5"/>
            </w:rPr>
            <w:t>二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课程教学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hyperlink w:history="true" w:anchor="_bookmark11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"/>
              </w:rPr>
              <w:t>1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3"/>
            </w:rPr>
            <w:t>7</w:t>
          </w:r>
        </w:p>
        <w:p>
          <w:pPr>
            <w:ind w:left="30"/>
            <w:spacing w:before="106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3"/>
            </w:rPr>
            <w:t>(三)</w:t>
          </w:r>
          <w:r>
            <w:rPr>
              <w:rFonts w:ascii="SimSun" w:hAnsi="SimSun" w:eastAsia="SimSun" w:cs="SimSun"/>
              <w:sz w:val="28"/>
              <w:szCs w:val="28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-3"/>
            </w:rPr>
            <w:t>导师指导</w:t>
          </w:r>
          <w:r>
            <w:rPr>
              <w:rFonts w:ascii="SimSun" w:hAnsi="SimSun" w:eastAsia="SimSun" w:cs="SimSun"/>
              <w:sz w:val="28"/>
              <w:szCs w:val="28"/>
              <w:spacing w:val="-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3"/>
            </w:rPr>
            <w:t xml:space="preserve"> </w:t>
          </w:r>
          <w:hyperlink w:history="true" w:anchor="_bookmark12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-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3"/>
            </w:rPr>
            <w:t>1</w:t>
          </w:r>
        </w:p>
        <w:p>
          <w:pPr>
            <w:ind w:left="30"/>
            <w:spacing w:before="108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(四)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学术训练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13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2</w:t>
          </w:r>
        </w:p>
        <w:p>
          <w:pPr>
            <w:ind w:left="30"/>
            <w:spacing w:before="105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(五)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学术交流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14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3</w:t>
          </w:r>
        </w:p>
        <w:p>
          <w:pPr>
            <w:ind w:left="30"/>
            <w:spacing w:before="105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(六)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论文质量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15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6</w:t>
          </w:r>
        </w:p>
        <w:p>
          <w:pPr>
            <w:ind w:left="30"/>
            <w:spacing w:before="107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(七)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质量保证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16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6</w:t>
          </w:r>
        </w:p>
        <w:p>
          <w:pPr>
            <w:ind w:left="30"/>
            <w:spacing w:before="104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6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5"/>
            </w:rPr>
            <w:t>八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学风建设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hyperlink w:history="true" w:anchor="_bookmark17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3"/>
            </w:rPr>
            <w:t>7</w:t>
          </w:r>
        </w:p>
        <w:p>
          <w:pPr>
            <w:ind w:left="30"/>
            <w:spacing w:before="104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6"/>
            </w:rPr>
            <w:t>(</w:t>
          </w:r>
          <w:r>
            <w:rPr>
              <w:rFonts w:ascii="SimSun" w:hAnsi="SimSun" w:eastAsia="SimSun" w:cs="SimSun"/>
              <w:sz w:val="28"/>
              <w:szCs w:val="28"/>
              <w:spacing w:val="5"/>
            </w:rPr>
            <w:t>九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>就业发展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hyperlink w:history="true" w:anchor="_bookmark18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3"/>
            </w:rPr>
            <w:t>7</w:t>
          </w:r>
        </w:p>
        <w:p>
          <w:pPr>
            <w:ind w:left="49"/>
            <w:spacing w:before="106" w:line="223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8"/>
            </w:rPr>
            <w:t>四、研究生教育支撑条件</w:t>
          </w:r>
          <w:r>
            <w:rPr>
              <w:rFonts w:ascii="SimSun" w:hAnsi="SimSun" w:eastAsia="SimSun" w:cs="SimSun"/>
              <w:sz w:val="28"/>
              <w:szCs w:val="28"/>
              <w:spacing w:val="-8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8"/>
            </w:rPr>
            <w:t xml:space="preserve"> </w:t>
          </w:r>
          <w:hyperlink w:history="true" w:anchor="_bookmark19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-7"/>
            </w:rPr>
            <w:t>8</w:t>
          </w:r>
        </w:p>
        <w:p>
          <w:pPr>
            <w:ind w:left="30"/>
            <w:spacing w:before="102" w:line="219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(一)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科学研究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0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2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8</w:t>
          </w:r>
        </w:p>
        <w:p>
          <w:pPr>
            <w:ind w:left="30"/>
            <w:spacing w:before="107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(二)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支撑平台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1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2</w:t>
          </w:r>
        </w:p>
        <w:p>
          <w:pPr>
            <w:ind w:left="30"/>
            <w:spacing w:before="107" w:line="221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(三)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奖助体系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2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3</w:t>
          </w:r>
        </w:p>
        <w:p>
          <w:pPr>
            <w:ind w:left="30"/>
            <w:spacing w:before="105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(四)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管理服务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3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6</w:t>
          </w:r>
        </w:p>
        <w:p>
          <w:pPr>
            <w:ind w:left="27"/>
            <w:spacing w:before="105" w:line="23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14"/>
            </w:rPr>
            <w:t>五</w:t>
          </w:r>
          <w:r>
            <w:rPr>
              <w:rFonts w:ascii="SimSun" w:hAnsi="SimSun" w:eastAsia="SimSun" w:cs="SimSun"/>
              <w:sz w:val="28"/>
              <w:szCs w:val="28"/>
              <w:spacing w:val="-10"/>
            </w:rPr>
            <w:t>、</w:t>
          </w:r>
          <w:r>
            <w:rPr>
              <w:rFonts w:ascii="SimSun" w:hAnsi="SimSun" w:eastAsia="SimSun" w:cs="SimSun"/>
              <w:sz w:val="28"/>
              <w:szCs w:val="28"/>
              <w:spacing w:val="-7"/>
            </w:rPr>
            <w:t>学位点服务贡献</w:t>
          </w:r>
          <w:r>
            <w:rPr>
              <w:rFonts w:ascii="SimSun" w:hAnsi="SimSun" w:eastAsia="SimSun" w:cs="SimSun"/>
              <w:sz w:val="28"/>
              <w:szCs w:val="28"/>
              <w:spacing w:val="-7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7"/>
            </w:rPr>
            <w:t xml:space="preserve"> </w:t>
          </w:r>
          <w:hyperlink w:history="true" w:anchor="_bookmark24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7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-7"/>
            </w:rPr>
            <w:t>6</w:t>
          </w:r>
        </w:p>
        <w:p>
          <w:pPr>
            <w:ind w:left="24"/>
            <w:spacing w:before="93" w:line="224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-6"/>
            </w:rPr>
            <w:t>六、存在的问题及改进措施</w:t>
          </w:r>
          <w:r>
            <w:rPr>
              <w:rFonts w:ascii="SimSun" w:hAnsi="SimSun" w:eastAsia="SimSun" w:cs="SimSun"/>
              <w:sz w:val="28"/>
              <w:szCs w:val="28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-6"/>
            </w:rPr>
            <w:t xml:space="preserve"> </w:t>
          </w:r>
          <w:hyperlink w:history="true" w:anchor="_bookmark25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-4"/>
            </w:rPr>
            <w:t>9</w:t>
          </w:r>
        </w:p>
        <w:p>
          <w:pPr>
            <w:ind w:left="30"/>
            <w:spacing w:before="99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(一)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存在的问题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6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9</w:t>
          </w:r>
        </w:p>
        <w:p>
          <w:pPr>
            <w:ind w:left="30"/>
            <w:spacing w:before="106" w:line="220" w:lineRule="auto"/>
            <w:tabs>
              <w:tab w:val="right" w:leader="dot" w:pos="832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SimSun" w:hAnsi="SimSun" w:eastAsia="SimSun" w:cs="SimSun"/>
              <w:sz w:val="28"/>
              <w:szCs w:val="28"/>
              <w:spacing w:val="4"/>
            </w:rPr>
            <w:t>(二)</w:t>
          </w:r>
          <w:r>
            <w:rPr>
              <w:rFonts w:ascii="SimSun" w:hAnsi="SimSun" w:eastAsia="SimSun" w:cs="SimSun"/>
              <w:sz w:val="28"/>
              <w:szCs w:val="28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>改进措施</w:t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28"/>
              <w:szCs w:val="28"/>
            </w:rPr>
            <w:tab/>
          </w:r>
          <w:r>
            <w:rPr>
              <w:rFonts w:ascii="SimSun" w:hAnsi="SimSun" w:eastAsia="SimSun" w:cs="SimSun"/>
              <w:sz w:val="28"/>
              <w:szCs w:val="28"/>
              <w:spacing w:val="2"/>
            </w:rPr>
            <w:t xml:space="preserve"> </w:t>
          </w:r>
          <w:hyperlink w:history="true" w:anchor="_bookmark27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"/>
              </w:rPr>
              <w:t>3</w:t>
            </w:r>
          </w:hyperlink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9</w:t>
          </w:r>
        </w:p>
      </w:sdtContent>
    </w:sdt>
    <w:p>
      <w:pPr>
        <w:sectPr>
          <w:pgSz w:w="11906" w:h="16839"/>
          <w:pgMar w:top="400" w:right="1785" w:bottom="400" w:left="1785" w:header="0" w:footer="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708"/>
        <w:spacing w:before="101" w:line="513" w:lineRule="exact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  <w:position w:val="4"/>
        </w:rPr>
        <w:t>一、总体概况</w:t>
      </w:r>
    </w:p>
    <w:p>
      <w:pPr>
        <w:ind w:left="589"/>
        <w:spacing w:before="103" w:line="219" w:lineRule="auto"/>
        <w:rPr>
          <w:rFonts w:ascii="SimSun" w:hAnsi="SimSun" w:eastAsia="SimSun" w:cs="SimSun"/>
          <w:sz w:val="28"/>
          <w:szCs w:val="28"/>
        </w:rPr>
      </w:pPr>
      <w:bookmarkStart w:name="_bookmark4" w:id="2"/>
      <w:bookmarkEnd w:id="2"/>
      <w:bookmarkStart w:name="_bookmark5" w:id="3"/>
      <w:bookmarkEnd w:id="3"/>
      <w:bookmarkStart w:name="_bookmark6" w:id="4"/>
      <w:bookmarkEnd w:id="4"/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一)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学位授权点基本情况</w:t>
      </w:r>
    </w:p>
    <w:p>
      <w:pPr>
        <w:ind w:left="29" w:right="7" w:firstLine="562"/>
        <w:spacing w:before="212" w:line="359" w:lineRule="auto"/>
        <w:tabs>
          <w:tab w:val="left" w:leader="empty" w:pos="170"/>
        </w:tabs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2"/>
        </w:rPr>
        <w:t>海</w:t>
      </w:r>
      <w:r>
        <w:rPr>
          <w:rFonts w:ascii="FangSong" w:hAnsi="FangSong" w:eastAsia="FangSong" w:cs="FangSong"/>
          <w:sz w:val="28"/>
          <w:szCs w:val="28"/>
          <w:spacing w:val="9"/>
        </w:rPr>
        <w:t>南</w:t>
      </w:r>
      <w:r>
        <w:rPr>
          <w:rFonts w:ascii="FangSong" w:hAnsi="FangSong" w:eastAsia="FangSong" w:cs="FangSong"/>
          <w:sz w:val="28"/>
          <w:szCs w:val="28"/>
          <w:spacing w:val="6"/>
        </w:rPr>
        <w:t>师范大学是海南省唯一的地理学一级学科硕士和学科教学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ab/>
      </w:r>
      <w:r>
        <w:rPr>
          <w:rFonts w:ascii="FangSong" w:hAnsi="FangSong" w:eastAsia="FangSong" w:cs="FangSong"/>
          <w:sz w:val="28"/>
          <w:szCs w:val="28"/>
          <w:spacing w:val="-6"/>
        </w:rPr>
        <w:t>(地理)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专业教育硕士授权单位，学位点立足热带海岛，面向海南国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民</w:t>
      </w:r>
      <w:r>
        <w:rPr>
          <w:rFonts w:ascii="FangSong" w:hAnsi="FangSong" w:eastAsia="FangSong" w:cs="FangSong"/>
          <w:sz w:val="28"/>
          <w:szCs w:val="28"/>
          <w:spacing w:val="-12"/>
        </w:rPr>
        <w:t>经</w:t>
      </w:r>
      <w:r>
        <w:rPr>
          <w:rFonts w:ascii="FangSong" w:hAnsi="FangSong" w:eastAsia="FangSong" w:cs="FangSong"/>
          <w:sz w:val="28"/>
          <w:szCs w:val="28"/>
          <w:spacing w:val="-9"/>
        </w:rPr>
        <w:t>济建设需求，长期注重学科建设和人才培养，形成了一支学历高、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结构优化的</w:t>
      </w:r>
      <w:r>
        <w:rPr>
          <w:rFonts w:ascii="FangSong" w:hAnsi="FangSong" w:eastAsia="FangSong" w:cs="FangSong"/>
          <w:sz w:val="28"/>
          <w:szCs w:val="28"/>
          <w:spacing w:val="-5"/>
        </w:rPr>
        <w:t>教</w:t>
      </w:r>
      <w:r>
        <w:rPr>
          <w:rFonts w:ascii="FangSong" w:hAnsi="FangSong" w:eastAsia="FangSong" w:cs="FangSong"/>
          <w:sz w:val="28"/>
          <w:szCs w:val="28"/>
          <w:spacing w:val="-3"/>
        </w:rPr>
        <w:t>学与研究队伍。学科聚焦热带海岛地表过程、人地系统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演化、资</w:t>
      </w:r>
      <w:r>
        <w:rPr>
          <w:rFonts w:ascii="FangSong" w:hAnsi="FangSong" w:eastAsia="FangSong" w:cs="FangSong"/>
          <w:sz w:val="28"/>
          <w:szCs w:val="28"/>
          <w:spacing w:val="-5"/>
        </w:rPr>
        <w:t>源</w:t>
      </w:r>
      <w:r>
        <w:rPr>
          <w:rFonts w:ascii="FangSong" w:hAnsi="FangSong" w:eastAsia="FangSong" w:cs="FangSong"/>
          <w:sz w:val="28"/>
          <w:szCs w:val="28"/>
          <w:spacing w:val="-3"/>
        </w:rPr>
        <w:t>环境遥感等，开展了多维度、多尺度、多学科交叉的综合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研究，形成</w:t>
      </w:r>
      <w:r>
        <w:rPr>
          <w:rFonts w:ascii="FangSong" w:hAnsi="FangSong" w:eastAsia="FangSong" w:cs="FangSong"/>
          <w:sz w:val="28"/>
          <w:szCs w:val="28"/>
          <w:spacing w:val="-5"/>
        </w:rPr>
        <w:t>了</w:t>
      </w:r>
      <w:r>
        <w:rPr>
          <w:rFonts w:ascii="FangSong" w:hAnsi="FangSong" w:eastAsia="FangSong" w:cs="FangSong"/>
          <w:sz w:val="28"/>
          <w:szCs w:val="28"/>
          <w:spacing w:val="-3"/>
        </w:rPr>
        <w:t>具有典型地域特色和学科方向鲜明的研究领域，为海南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省国民经济发展、生态环境建设与资源环</w:t>
      </w:r>
      <w:r>
        <w:rPr>
          <w:rFonts w:ascii="FangSong" w:hAnsi="FangSong" w:eastAsia="FangSong" w:cs="FangSong"/>
          <w:sz w:val="28"/>
          <w:szCs w:val="28"/>
        </w:rPr>
        <w:t>境协调提供科技支撑。</w:t>
      </w:r>
    </w:p>
    <w:p>
      <w:pPr>
        <w:ind w:left="22" w:right="103" w:firstLine="553"/>
        <w:spacing w:before="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2006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年自然地理学获批</w:t>
      </w:r>
      <w:r>
        <w:rPr>
          <w:rFonts w:ascii="FangSong" w:hAnsi="FangSong" w:eastAsia="FangSong" w:cs="FangSong"/>
          <w:sz w:val="28"/>
          <w:szCs w:val="28"/>
          <w:spacing w:val="1"/>
        </w:rPr>
        <w:t>为二级学科硕士点，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2010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年地理学获批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为一级学科硕士点。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年地理学招收硕士生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人，授予硕士</w:t>
      </w:r>
      <w:r>
        <w:rPr>
          <w:rFonts w:ascii="FangSong" w:hAnsi="FangSong" w:eastAsia="FangSong" w:cs="FangSong"/>
          <w:sz w:val="28"/>
          <w:szCs w:val="28"/>
          <w:spacing w:val="-1"/>
        </w:rPr>
        <w:t>学</w:t>
      </w:r>
      <w:r>
        <w:rPr>
          <w:rFonts w:ascii="FangSong" w:hAnsi="FangSong" w:eastAsia="FangSong" w:cs="FangSong"/>
          <w:sz w:val="28"/>
          <w:szCs w:val="28"/>
        </w:rPr>
        <w:t>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0"/>
        </w:rPr>
        <w:t>人，</w:t>
      </w:r>
      <w:r>
        <w:rPr>
          <w:rFonts w:ascii="FangSong" w:hAnsi="FangSong" w:eastAsia="FangSong" w:cs="FangSong"/>
          <w:sz w:val="28"/>
          <w:szCs w:val="28"/>
          <w:spacing w:val="5"/>
        </w:rPr>
        <w:t>其中</w:t>
      </w:r>
      <w:r>
        <w:rPr>
          <w:rFonts w:ascii="FangSong" w:hAnsi="FangSong" w:eastAsia="FangSong" w:cs="FangSong"/>
          <w:sz w:val="28"/>
          <w:szCs w:val="28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5"/>
        </w:rPr>
        <w:t>名研究生考取哈尔滨师范大学博士。研究生就业率为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100%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，去向主要为中初等教育</w:t>
      </w:r>
      <w:r>
        <w:rPr>
          <w:rFonts w:ascii="FangSong" w:hAnsi="FangSong" w:eastAsia="FangSong" w:cs="FangSong"/>
          <w:sz w:val="28"/>
          <w:szCs w:val="28"/>
        </w:rPr>
        <w:t>单位，综合素质、专业水平和创新能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力等赢得用人单位良好的</w:t>
      </w:r>
      <w:r>
        <w:rPr>
          <w:rFonts w:ascii="FangSong" w:hAnsi="FangSong" w:eastAsia="FangSong" w:cs="FangSong"/>
          <w:sz w:val="28"/>
          <w:szCs w:val="28"/>
        </w:rPr>
        <w:t>口碑。</w:t>
      </w:r>
    </w:p>
    <w:p>
      <w:pPr>
        <w:ind w:left="29" w:firstLine="547"/>
        <w:spacing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年</w:t>
      </w:r>
      <w:r>
        <w:rPr>
          <w:rFonts w:ascii="FangSong" w:hAnsi="FangSong" w:eastAsia="FangSong" w:cs="FangSong"/>
          <w:sz w:val="28"/>
          <w:szCs w:val="28"/>
          <w:spacing w:val="-4"/>
        </w:rPr>
        <w:t>学位点新增硕士生导师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名，指导教师达到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人，其中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教</w:t>
      </w:r>
      <w:r>
        <w:rPr>
          <w:rFonts w:ascii="FangSong" w:hAnsi="FangSong" w:eastAsia="FangSong" w:cs="FangSong"/>
          <w:sz w:val="28"/>
          <w:szCs w:val="28"/>
          <w:spacing w:val="-9"/>
        </w:rPr>
        <w:t>授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人，副教授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人，生师比为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3:1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(在校研究生人数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/</w:t>
      </w:r>
      <w:r>
        <w:rPr>
          <w:rFonts w:ascii="FangSong" w:hAnsi="FangSong" w:eastAsia="FangSong" w:cs="FangSong"/>
          <w:sz w:val="28"/>
          <w:szCs w:val="28"/>
          <w:spacing w:val="-9"/>
        </w:rPr>
        <w:t>导师人数)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学位点现有</w:t>
      </w:r>
      <w:r>
        <w:rPr>
          <w:rFonts w:ascii="FangSong" w:hAnsi="FangSong" w:eastAsia="FangSong" w:cs="FangSong"/>
          <w:sz w:val="28"/>
          <w:szCs w:val="28"/>
          <w:spacing w:val="-1"/>
        </w:rPr>
        <w:t>欧阳自远院士、安芷生院士、佘之祥教授等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18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位客座教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授</w:t>
      </w:r>
      <w:r>
        <w:rPr>
          <w:rFonts w:ascii="FangSong" w:hAnsi="FangSong" w:eastAsia="FangSong" w:cs="FangSong"/>
          <w:sz w:val="28"/>
          <w:szCs w:val="28"/>
          <w:spacing w:val="-8"/>
        </w:rPr>
        <w:t>。</w:t>
      </w:r>
    </w:p>
    <w:p>
      <w:pPr>
        <w:ind w:left="29" w:right="101" w:firstLine="572"/>
        <w:spacing w:before="7" w:line="361" w:lineRule="auto"/>
        <w:tabs>
          <w:tab w:val="left" w:leader="empty" w:pos="170"/>
        </w:tabs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7"/>
        </w:rPr>
        <w:t>学位点现有海南省热带海岛地表过程与环境变化重点实验</w:t>
      </w:r>
      <w:r>
        <w:rPr>
          <w:rFonts w:ascii="FangSong" w:hAnsi="FangSong" w:eastAsia="FangSong" w:cs="FangSong"/>
          <w:sz w:val="28"/>
          <w:szCs w:val="28"/>
          <w:spacing w:val="16"/>
        </w:rPr>
        <w:t>室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ab/>
      </w:r>
      <w:r>
        <w:rPr>
          <w:rFonts w:ascii="FangSong" w:hAnsi="FangSong" w:eastAsia="FangSong" w:cs="FangSong"/>
          <w:sz w:val="28"/>
          <w:szCs w:val="28"/>
          <w:spacing w:val="-6"/>
        </w:rPr>
        <w:t>(筹)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、</w:t>
      </w:r>
      <w:r>
        <w:rPr>
          <w:rFonts w:ascii="FangSong" w:hAnsi="FangSong" w:eastAsia="FangSong" w:cs="FangSong"/>
          <w:sz w:val="28"/>
          <w:szCs w:val="28"/>
          <w:spacing w:val="-3"/>
        </w:rPr>
        <w:t>宫辉力院士工作站、王颖院士团队创新中心、海南省职工创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新工作室</w:t>
      </w:r>
      <w:r>
        <w:rPr>
          <w:rFonts w:ascii="FangSong" w:hAnsi="FangSong" w:eastAsia="FangSong" w:cs="FangSong"/>
          <w:sz w:val="28"/>
          <w:szCs w:val="28"/>
          <w:spacing w:val="-4"/>
        </w:rPr>
        <w:t>、</w:t>
      </w:r>
      <w:r>
        <w:rPr>
          <w:rFonts w:ascii="FangSong" w:hAnsi="FangSong" w:eastAsia="FangSong" w:cs="FangSong"/>
          <w:sz w:val="28"/>
          <w:szCs w:val="28"/>
          <w:spacing w:val="-3"/>
        </w:rPr>
        <w:t>澄迈美亭农林复合生态系统海南省野外科学观测研究站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4"/>
        </w:rPr>
        <w:t>个省级科研平台及自然</w:t>
      </w:r>
      <w:r>
        <w:rPr>
          <w:rFonts w:ascii="FangSong" w:hAnsi="FangSong" w:eastAsia="FangSong" w:cs="FangSong"/>
          <w:sz w:val="28"/>
          <w:szCs w:val="28"/>
          <w:spacing w:val="2"/>
        </w:rPr>
        <w:t>地理实验室、环境模拟实验室、遥感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-</w:t>
      </w:r>
      <w:r>
        <w:rPr>
          <w:rFonts w:ascii="FangSong" w:hAnsi="FangSong" w:eastAsia="FangSong" w:cs="FangSong"/>
          <w:sz w:val="28"/>
          <w:szCs w:val="28"/>
          <w:spacing w:val="2"/>
        </w:rPr>
        <w:t>地理信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息系统实</w:t>
      </w:r>
      <w:r>
        <w:rPr>
          <w:rFonts w:ascii="FangSong" w:hAnsi="FangSong" w:eastAsia="FangSong" w:cs="FangSong"/>
          <w:sz w:val="28"/>
          <w:szCs w:val="28"/>
          <w:spacing w:val="-5"/>
        </w:rPr>
        <w:t>验</w:t>
      </w:r>
      <w:r>
        <w:rPr>
          <w:rFonts w:ascii="FangSong" w:hAnsi="FangSong" w:eastAsia="FangSong" w:cs="FangSong"/>
          <w:sz w:val="28"/>
          <w:szCs w:val="28"/>
          <w:spacing w:val="-3"/>
        </w:rPr>
        <w:t>室、环境评价实验室、环境地球化学实验室、气象资源实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验室、测量地图实验</w:t>
      </w:r>
      <w:r>
        <w:rPr>
          <w:rFonts w:ascii="FangSong" w:hAnsi="FangSong" w:eastAsia="FangSong" w:cs="FangSong"/>
          <w:sz w:val="28"/>
          <w:szCs w:val="28"/>
        </w:rPr>
        <w:t>室、</w:t>
      </w:r>
      <w:r>
        <w:rPr>
          <w:rFonts w:ascii="Times New Roman" w:hAnsi="Times New Roman" w:eastAsia="Times New Roman" w:cs="Times New Roman"/>
          <w:sz w:val="28"/>
          <w:szCs w:val="28"/>
        </w:rPr>
        <w:t>ICP-MS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实验室、天文观测站、数字地图实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验</w:t>
      </w:r>
      <w:r>
        <w:rPr>
          <w:rFonts w:ascii="FangSong" w:hAnsi="FangSong" w:eastAsia="FangSong" w:cs="FangSong"/>
          <w:sz w:val="28"/>
          <w:szCs w:val="28"/>
          <w:spacing w:val="-5"/>
        </w:rPr>
        <w:t>室等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余个科研教学实验室。</w:t>
      </w:r>
    </w:p>
    <w:p>
      <w:pPr>
        <w:sectPr>
          <w:footerReference w:type="default" r:id="rId4"/>
          <w:pgSz w:w="11906" w:h="16839"/>
          <w:pgMar w:top="400" w:right="1693" w:bottom="1168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89"/>
        <w:spacing w:before="91" w:line="219" w:lineRule="auto"/>
        <w:rPr>
          <w:rFonts w:ascii="SimSun" w:hAnsi="SimSun" w:eastAsia="SimSun" w:cs="SimSun"/>
          <w:sz w:val="28"/>
          <w:szCs w:val="28"/>
        </w:rPr>
      </w:pPr>
      <w:bookmarkStart w:name="_bookmark7" w:id="5"/>
      <w:bookmarkEnd w:id="5"/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(二)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培养目标与培养方向简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介</w:t>
      </w:r>
    </w:p>
    <w:p>
      <w:pPr>
        <w:ind w:left="601"/>
        <w:spacing w:before="21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1</w:t>
      </w:r>
      <w:r>
        <w:rPr>
          <w:rFonts w:ascii="FangSong" w:hAnsi="FangSong" w:eastAsia="FangSong" w:cs="FangSong"/>
          <w:sz w:val="28"/>
          <w:szCs w:val="28"/>
          <w:spacing w:val="-4"/>
        </w:rPr>
        <w:t>.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培养目标</w:t>
      </w:r>
    </w:p>
    <w:p>
      <w:pPr>
        <w:ind w:left="29" w:firstLine="610"/>
        <w:spacing w:before="21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旨在培</w:t>
      </w:r>
      <w:r>
        <w:rPr>
          <w:rFonts w:ascii="FangSong" w:hAnsi="FangSong" w:eastAsia="FangSong" w:cs="FangSong"/>
          <w:sz w:val="28"/>
          <w:szCs w:val="28"/>
          <w:spacing w:val="-7"/>
        </w:rPr>
        <w:t>养</w:t>
      </w:r>
      <w:r>
        <w:rPr>
          <w:rFonts w:ascii="FangSong" w:hAnsi="FangSong" w:eastAsia="FangSong" w:cs="FangSong"/>
          <w:sz w:val="28"/>
          <w:szCs w:val="28"/>
          <w:spacing w:val="-5"/>
        </w:rPr>
        <w:t>德智体美劳全面发展，爱国守法，掌握扎实的基础理论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和系统的专</w:t>
      </w:r>
      <w:r>
        <w:rPr>
          <w:rFonts w:ascii="FangSong" w:hAnsi="FangSong" w:eastAsia="FangSong" w:cs="FangSong"/>
          <w:sz w:val="28"/>
          <w:szCs w:val="28"/>
          <w:spacing w:val="-5"/>
        </w:rPr>
        <w:t>门</w:t>
      </w:r>
      <w:r>
        <w:rPr>
          <w:rFonts w:ascii="FangSong" w:hAnsi="FangSong" w:eastAsia="FangSong" w:cs="FangSong"/>
          <w:sz w:val="28"/>
          <w:szCs w:val="28"/>
          <w:spacing w:val="-3"/>
        </w:rPr>
        <w:t>知识，具有从事科学研究、教学、管理或能够独立承担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专门技术工</w:t>
      </w:r>
      <w:r>
        <w:rPr>
          <w:rFonts w:ascii="FangSong" w:hAnsi="FangSong" w:eastAsia="FangSong" w:cs="FangSong"/>
          <w:sz w:val="28"/>
          <w:szCs w:val="28"/>
          <w:spacing w:val="-5"/>
        </w:rPr>
        <w:t>作</w:t>
      </w:r>
      <w:r>
        <w:rPr>
          <w:rFonts w:ascii="FangSong" w:hAnsi="FangSong" w:eastAsia="FangSong" w:cs="FangSong"/>
          <w:sz w:val="28"/>
          <w:szCs w:val="28"/>
          <w:spacing w:val="-3"/>
        </w:rPr>
        <w:t>、符合国家建设及海南国际自贸港建设需求、富有创新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精神的高级</w:t>
      </w:r>
      <w:r>
        <w:rPr>
          <w:rFonts w:ascii="FangSong" w:hAnsi="FangSong" w:eastAsia="FangSong" w:cs="FangSong"/>
          <w:sz w:val="28"/>
          <w:szCs w:val="28"/>
          <w:spacing w:val="-5"/>
        </w:rPr>
        <w:t>专</w:t>
      </w:r>
      <w:r>
        <w:rPr>
          <w:rFonts w:ascii="FangSong" w:hAnsi="FangSong" w:eastAsia="FangSong" w:cs="FangSong"/>
          <w:sz w:val="28"/>
          <w:szCs w:val="28"/>
          <w:spacing w:val="-3"/>
        </w:rPr>
        <w:t>门人才。具体要求为：</w:t>
      </w:r>
      <w:r>
        <w:rPr>
          <w:rFonts w:ascii="SimSun" w:hAnsi="SimSun" w:eastAsia="SimSun" w:cs="SimSun"/>
          <w:sz w:val="28"/>
          <w:szCs w:val="28"/>
          <w:spacing w:val="-3"/>
        </w:rPr>
        <w:t>①</w:t>
      </w:r>
      <w:r>
        <w:rPr>
          <w:rFonts w:ascii="FangSong" w:hAnsi="FangSong" w:eastAsia="FangSong" w:cs="FangSong"/>
          <w:sz w:val="28"/>
          <w:szCs w:val="28"/>
          <w:spacing w:val="-3"/>
        </w:rPr>
        <w:t>具有良好的政治思想觉悟和道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德品质，遵</w:t>
      </w:r>
      <w:r>
        <w:rPr>
          <w:rFonts w:ascii="FangSong" w:hAnsi="FangSong" w:eastAsia="FangSong" w:cs="FangSong"/>
          <w:sz w:val="28"/>
          <w:szCs w:val="28"/>
          <w:spacing w:val="-5"/>
        </w:rPr>
        <w:t>纪</w:t>
      </w:r>
      <w:r>
        <w:rPr>
          <w:rFonts w:ascii="FangSong" w:hAnsi="FangSong" w:eastAsia="FangSong" w:cs="FangSong"/>
          <w:sz w:val="28"/>
          <w:szCs w:val="28"/>
          <w:spacing w:val="-3"/>
        </w:rPr>
        <w:t>守法，积极进取，勇于创新；</w:t>
      </w:r>
      <w:r>
        <w:rPr>
          <w:rFonts w:ascii="SimSun" w:hAnsi="SimSun" w:eastAsia="SimSun" w:cs="SimSun"/>
          <w:sz w:val="28"/>
          <w:szCs w:val="28"/>
          <w:spacing w:val="-3"/>
        </w:rPr>
        <w:t>②</w:t>
      </w:r>
      <w:r>
        <w:rPr>
          <w:rFonts w:ascii="FangSong" w:hAnsi="FangSong" w:eastAsia="FangSong" w:cs="FangSong"/>
          <w:sz w:val="28"/>
          <w:szCs w:val="28"/>
          <w:spacing w:val="-3"/>
        </w:rPr>
        <w:t>熟练掌握地理学和相关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学科的基本</w:t>
      </w:r>
      <w:r>
        <w:rPr>
          <w:rFonts w:ascii="FangSong" w:hAnsi="FangSong" w:eastAsia="FangSong" w:cs="FangSong"/>
          <w:sz w:val="28"/>
          <w:szCs w:val="28"/>
          <w:spacing w:val="-5"/>
        </w:rPr>
        <w:t>理</w:t>
      </w:r>
      <w:r>
        <w:rPr>
          <w:rFonts w:ascii="FangSong" w:hAnsi="FangSong" w:eastAsia="FangSong" w:cs="FangSong"/>
          <w:sz w:val="28"/>
          <w:szCs w:val="28"/>
          <w:spacing w:val="-3"/>
        </w:rPr>
        <w:t>论和研究方法；</w:t>
      </w:r>
      <w:r>
        <w:rPr>
          <w:rFonts w:ascii="SimSun" w:hAnsi="SimSun" w:eastAsia="SimSun" w:cs="SimSun"/>
          <w:sz w:val="28"/>
          <w:szCs w:val="28"/>
          <w:spacing w:val="-3"/>
        </w:rPr>
        <w:t>③</w:t>
      </w:r>
      <w:r>
        <w:rPr>
          <w:rFonts w:ascii="FangSong" w:hAnsi="FangSong" w:eastAsia="FangSong" w:cs="FangSong"/>
          <w:sz w:val="28"/>
          <w:szCs w:val="28"/>
          <w:spacing w:val="-3"/>
        </w:rPr>
        <w:t>了解学科前沿动态，具有一定的科研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实</w:t>
      </w:r>
      <w:r>
        <w:rPr>
          <w:rFonts w:ascii="FangSong" w:hAnsi="FangSong" w:eastAsia="FangSong" w:cs="FangSong"/>
          <w:sz w:val="28"/>
          <w:szCs w:val="28"/>
          <w:spacing w:val="-3"/>
        </w:rPr>
        <w:t>践</w:t>
      </w:r>
      <w:r>
        <w:rPr>
          <w:rFonts w:ascii="FangSong" w:hAnsi="FangSong" w:eastAsia="FangSong" w:cs="FangSong"/>
          <w:sz w:val="28"/>
          <w:szCs w:val="28"/>
          <w:spacing w:val="-2"/>
        </w:rPr>
        <w:t>能力与创新能力；</w:t>
      </w:r>
      <w:r>
        <w:rPr>
          <w:rFonts w:ascii="SimSun" w:hAnsi="SimSun" w:eastAsia="SimSun" w:cs="SimSun"/>
          <w:sz w:val="28"/>
          <w:szCs w:val="28"/>
          <w:spacing w:val="-2"/>
        </w:rPr>
        <w:t>④</w:t>
      </w:r>
      <w:r>
        <w:rPr>
          <w:rFonts w:ascii="FangSong" w:hAnsi="FangSong" w:eastAsia="FangSong" w:cs="FangSong"/>
          <w:sz w:val="28"/>
          <w:szCs w:val="28"/>
          <w:spacing w:val="-2"/>
        </w:rPr>
        <w:t>能理论联系实际，并能独立从事科学研究、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教学与社会服务工</w:t>
      </w:r>
      <w:r>
        <w:rPr>
          <w:rFonts w:ascii="FangSong" w:hAnsi="FangSong" w:eastAsia="FangSong" w:cs="FangSong"/>
          <w:sz w:val="28"/>
          <w:szCs w:val="28"/>
          <w:spacing w:val="-1"/>
        </w:rPr>
        <w:t>作。</w:t>
      </w:r>
    </w:p>
    <w:p>
      <w:pPr>
        <w:ind w:left="584"/>
        <w:spacing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2.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培养方</w:t>
      </w:r>
      <w:r>
        <w:rPr>
          <w:rFonts w:ascii="FangSong" w:hAnsi="FangSong" w:eastAsia="FangSong" w:cs="FangSong"/>
          <w:sz w:val="28"/>
          <w:szCs w:val="28"/>
          <w:spacing w:val="-1"/>
        </w:rPr>
        <w:t>向</w:t>
      </w:r>
    </w:p>
    <w:p>
      <w:pPr>
        <w:ind w:left="29" w:right="40" w:firstLine="612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自然地</w:t>
      </w:r>
      <w:r>
        <w:rPr>
          <w:rFonts w:ascii="FangSong" w:hAnsi="FangSong" w:eastAsia="FangSong" w:cs="FangSong"/>
          <w:sz w:val="28"/>
          <w:szCs w:val="28"/>
          <w:spacing w:val="-7"/>
        </w:rPr>
        <w:t>理</w:t>
      </w:r>
      <w:r>
        <w:rPr>
          <w:rFonts w:ascii="FangSong" w:hAnsi="FangSong" w:eastAsia="FangSong" w:cs="FangSong"/>
          <w:sz w:val="28"/>
          <w:szCs w:val="28"/>
          <w:spacing w:val="-5"/>
        </w:rPr>
        <w:t>学：主要开展热带海岛地表过程及环境响应研究，阐明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陆地、海</w:t>
      </w:r>
      <w:r>
        <w:rPr>
          <w:rFonts w:ascii="FangSong" w:hAnsi="FangSong" w:eastAsia="FangSong" w:cs="FangSong"/>
          <w:sz w:val="28"/>
          <w:szCs w:val="28"/>
          <w:spacing w:val="-5"/>
        </w:rPr>
        <w:t>洋</w:t>
      </w:r>
      <w:r>
        <w:rPr>
          <w:rFonts w:ascii="FangSong" w:hAnsi="FangSong" w:eastAsia="FangSong" w:cs="FangSong"/>
          <w:sz w:val="28"/>
          <w:szCs w:val="28"/>
          <w:spacing w:val="-3"/>
        </w:rPr>
        <w:t>、大气多界面间主要物质的循环与转化等地表过程、机制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及其环境效应；利用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S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等多技术与实验分析</w:t>
      </w:r>
      <w:r>
        <w:rPr>
          <w:rFonts w:ascii="FangSong" w:hAnsi="FangSong" w:eastAsia="FangSong" w:cs="FangSong"/>
          <w:sz w:val="28"/>
          <w:szCs w:val="28"/>
          <w:spacing w:val="-1"/>
        </w:rPr>
        <w:t>相结合，模拟热带海岛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地表过程</w:t>
      </w:r>
      <w:r>
        <w:rPr>
          <w:rFonts w:ascii="FangSong" w:hAnsi="FangSong" w:eastAsia="FangSong" w:cs="FangSong"/>
          <w:sz w:val="28"/>
          <w:szCs w:val="28"/>
          <w:spacing w:val="4"/>
        </w:rPr>
        <w:t>，</w:t>
      </w:r>
      <w:r>
        <w:rPr>
          <w:rFonts w:ascii="FangSong" w:hAnsi="FangSong" w:eastAsia="FangSong" w:cs="FangSong"/>
          <w:sz w:val="28"/>
          <w:szCs w:val="28"/>
          <w:spacing w:val="3"/>
        </w:rPr>
        <w:t>预测环境变化趋势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,</w:t>
      </w:r>
      <w:r>
        <w:rPr>
          <w:rFonts w:ascii="FangSong" w:hAnsi="FangSong" w:eastAsia="FangSong" w:cs="FangSong"/>
          <w:sz w:val="28"/>
          <w:szCs w:val="28"/>
          <w:spacing w:val="3"/>
        </w:rPr>
        <w:t>评估环境风险；探讨热带海岛自然资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源形成、分</w:t>
      </w:r>
      <w:r>
        <w:rPr>
          <w:rFonts w:ascii="FangSong" w:hAnsi="FangSong" w:eastAsia="FangSong" w:cs="FangSong"/>
          <w:sz w:val="28"/>
          <w:szCs w:val="28"/>
          <w:spacing w:val="-5"/>
        </w:rPr>
        <w:t>布</w:t>
      </w:r>
      <w:r>
        <w:rPr>
          <w:rFonts w:ascii="FangSong" w:hAnsi="FangSong" w:eastAsia="FangSong" w:cs="FangSong"/>
          <w:sz w:val="28"/>
          <w:szCs w:val="28"/>
          <w:spacing w:val="-3"/>
        </w:rPr>
        <w:t>规律，揭示水土等可更新资源再生机制，提出其可持续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利用模式</w:t>
      </w:r>
      <w:r>
        <w:rPr>
          <w:rFonts w:ascii="FangSong" w:hAnsi="FangSong" w:eastAsia="FangSong" w:cs="FangSong"/>
          <w:sz w:val="28"/>
          <w:szCs w:val="28"/>
          <w:spacing w:val="-5"/>
        </w:rPr>
        <w:t>。</w:t>
      </w:r>
      <w:r>
        <w:rPr>
          <w:rFonts w:ascii="FangSong" w:hAnsi="FangSong" w:eastAsia="FangSong" w:cs="FangSong"/>
          <w:sz w:val="28"/>
          <w:szCs w:val="28"/>
          <w:spacing w:val="-3"/>
        </w:rPr>
        <w:t>海南省是我国唯一的热带省份，岛屿地表环境过程及自然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资源形成</w:t>
      </w:r>
      <w:r>
        <w:rPr>
          <w:rFonts w:ascii="FangSong" w:hAnsi="FangSong" w:eastAsia="FangSong" w:cs="FangSong"/>
          <w:sz w:val="28"/>
          <w:szCs w:val="28"/>
          <w:spacing w:val="-5"/>
        </w:rPr>
        <w:t>、</w:t>
      </w:r>
      <w:r>
        <w:rPr>
          <w:rFonts w:ascii="FangSong" w:hAnsi="FangSong" w:eastAsia="FangSong" w:cs="FangSong"/>
          <w:sz w:val="28"/>
          <w:szCs w:val="28"/>
          <w:spacing w:val="-3"/>
        </w:rPr>
        <w:t>再生等特殊，本方向研究特色鲜明、学术意义深远。相关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研究可为热带岛屿生态环境可持续发展以及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" w:hAnsi="FangSong" w:eastAsia="FangSong" w:cs="FangSong"/>
          <w:sz w:val="28"/>
          <w:szCs w:val="28"/>
          <w:spacing w:val="-3"/>
        </w:rPr>
        <w:t>加快探索建设海南自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由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贸易港进程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”</w:t>
      </w:r>
      <w:r>
        <w:rPr>
          <w:rFonts w:ascii="FangSong" w:hAnsi="FangSong" w:eastAsia="FangSong" w:cs="FangSong"/>
          <w:sz w:val="28"/>
          <w:szCs w:val="28"/>
          <w:spacing w:val="-1"/>
        </w:rPr>
        <w:t>提供科学依据。</w:t>
      </w:r>
    </w:p>
    <w:p>
      <w:pPr>
        <w:ind w:left="30" w:firstLine="563"/>
        <w:spacing w:before="5" w:line="36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人文地理学：主要研究热带海岛地域开发及时空效应，重点开</w:t>
      </w:r>
      <w:r>
        <w:rPr>
          <w:rFonts w:ascii="FangSong" w:hAnsi="FangSong" w:eastAsia="FangSong" w:cs="FangSong"/>
          <w:sz w:val="28"/>
          <w:szCs w:val="28"/>
          <w:spacing w:val="-3"/>
        </w:rPr>
        <w:t>展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热带</w:t>
      </w:r>
      <w:r>
        <w:rPr>
          <w:rFonts w:ascii="FangSong" w:hAnsi="FangSong" w:eastAsia="FangSong" w:cs="FangSong"/>
          <w:sz w:val="28"/>
          <w:szCs w:val="28"/>
          <w:spacing w:val="-2"/>
        </w:rPr>
        <w:t>海岛城市化过程及其环境效应、海岛地域文化与经济演化机理、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乡村</w:t>
      </w:r>
      <w:r>
        <w:rPr>
          <w:rFonts w:ascii="FangSong" w:hAnsi="FangSong" w:eastAsia="FangSong" w:cs="FangSong"/>
          <w:sz w:val="28"/>
          <w:szCs w:val="28"/>
          <w:spacing w:val="-2"/>
        </w:rPr>
        <w:t>振兴与精准扶贫、国土开发与区域规划、地缘环境与地缘经济、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海洋经济与</w:t>
      </w:r>
      <w:r>
        <w:rPr>
          <w:rFonts w:ascii="FangSong" w:hAnsi="FangSong" w:eastAsia="FangSong" w:cs="FangSong"/>
          <w:sz w:val="28"/>
          <w:szCs w:val="28"/>
          <w:spacing w:val="-3"/>
        </w:rPr>
        <w:t>海陆统筹等研究，揭示人类活动对热带海岛地理环境的作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用过程、影</w:t>
      </w:r>
      <w:r>
        <w:rPr>
          <w:rFonts w:ascii="FangSong" w:hAnsi="FangSong" w:eastAsia="FangSong" w:cs="FangSong"/>
          <w:sz w:val="28"/>
          <w:szCs w:val="28"/>
          <w:spacing w:val="-3"/>
        </w:rPr>
        <w:t>响机制、区域效应与优化模式，为热带海岛区域可持续发</w:t>
      </w:r>
    </w:p>
    <w:p>
      <w:pPr>
        <w:sectPr>
          <w:footerReference w:type="default" r:id="rId5"/>
          <w:pgSz w:w="11906" w:h="16839"/>
          <w:pgMar w:top="400" w:right="1753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9" w:right="30" w:firstLine="1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bookmarkStart w:name="_bookmark8" w:id="6"/>
      <w:bookmarkEnd w:id="6"/>
      <w:r>
        <w:rPr>
          <w:rFonts w:ascii="FangSong" w:hAnsi="FangSong" w:eastAsia="FangSong" w:cs="FangSong"/>
          <w:sz w:val="28"/>
          <w:szCs w:val="28"/>
          <w:spacing w:val="-6"/>
        </w:rPr>
        <w:t>展和人地系统</w:t>
      </w:r>
      <w:r>
        <w:rPr>
          <w:rFonts w:ascii="FangSong" w:hAnsi="FangSong" w:eastAsia="FangSong" w:cs="FangSong"/>
          <w:sz w:val="28"/>
          <w:szCs w:val="28"/>
          <w:spacing w:val="-4"/>
        </w:rPr>
        <w:t>优</w:t>
      </w:r>
      <w:r>
        <w:rPr>
          <w:rFonts w:ascii="FangSong" w:hAnsi="FangSong" w:eastAsia="FangSong" w:cs="FangSong"/>
          <w:sz w:val="28"/>
          <w:szCs w:val="28"/>
          <w:spacing w:val="-3"/>
        </w:rPr>
        <w:t>化提供理论与实践依据。热带海岛具有独特的区位和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地理环境，</w:t>
      </w:r>
      <w:r>
        <w:rPr>
          <w:rFonts w:ascii="FangSong" w:hAnsi="FangSong" w:eastAsia="FangSong" w:cs="FangSong"/>
          <w:sz w:val="28"/>
          <w:szCs w:val="28"/>
          <w:spacing w:val="-5"/>
        </w:rPr>
        <w:t>本</w:t>
      </w:r>
      <w:r>
        <w:rPr>
          <w:rFonts w:ascii="FangSong" w:hAnsi="FangSong" w:eastAsia="FangSong" w:cs="FangSong"/>
          <w:sz w:val="28"/>
          <w:szCs w:val="28"/>
          <w:spacing w:val="-3"/>
        </w:rPr>
        <w:t>方向基于人地关系视角的热带海岛地域开发及时空效应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研究，可为海</w:t>
      </w:r>
      <w:r>
        <w:rPr>
          <w:rFonts w:ascii="FangSong" w:hAnsi="FangSong" w:eastAsia="FangSong" w:cs="FangSong"/>
          <w:sz w:val="28"/>
          <w:szCs w:val="28"/>
          <w:spacing w:val="-3"/>
        </w:rPr>
        <w:t>南</w:t>
      </w:r>
      <w:r>
        <w:rPr>
          <w:rFonts w:ascii="FangSong" w:hAnsi="FangSong" w:eastAsia="FangSong" w:cs="FangSong"/>
          <w:sz w:val="28"/>
          <w:szCs w:val="28"/>
          <w:spacing w:val="-2"/>
        </w:rPr>
        <w:t>自由贸易港建设、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" w:hAnsi="FangSong" w:eastAsia="FangSong" w:cs="FangSong"/>
          <w:sz w:val="28"/>
          <w:szCs w:val="28"/>
          <w:spacing w:val="-2"/>
        </w:rPr>
        <w:t>一带一路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" w:hAnsi="FangSong" w:eastAsia="FangSong" w:cs="FangSong"/>
          <w:sz w:val="28"/>
          <w:szCs w:val="28"/>
          <w:spacing w:val="-2"/>
        </w:rPr>
        <w:t>倡议和海南生态文明试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验区建</w:t>
      </w:r>
      <w:r>
        <w:rPr>
          <w:rFonts w:ascii="FangSong" w:hAnsi="FangSong" w:eastAsia="FangSong" w:cs="FangSong"/>
          <w:sz w:val="28"/>
          <w:szCs w:val="28"/>
          <w:spacing w:val="-1"/>
        </w:rPr>
        <w:t>设提供理论和科技支撑。</w:t>
      </w:r>
    </w:p>
    <w:p>
      <w:pPr>
        <w:ind w:left="29" w:firstLine="561"/>
        <w:spacing w:before="2" w:line="359" w:lineRule="auto"/>
        <w:tabs>
          <w:tab w:val="left" w:leader="empty" w:pos="170"/>
        </w:tabs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地</w:t>
      </w:r>
      <w:r>
        <w:rPr>
          <w:rFonts w:ascii="FangSong" w:hAnsi="FangSong" w:eastAsia="FangSong" w:cs="FangSong"/>
          <w:sz w:val="28"/>
          <w:szCs w:val="28"/>
        </w:rPr>
        <w:t>图学与地理信息系统：主要基于地理信息系统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sz w:val="28"/>
          <w:szCs w:val="28"/>
        </w:rPr>
        <w:t>GIS</w:t>
      </w:r>
      <w:r>
        <w:rPr>
          <w:rFonts w:ascii="FangSong" w:hAnsi="FangSong" w:eastAsia="FangSong" w:cs="FangSong"/>
          <w:sz w:val="28"/>
          <w:szCs w:val="28"/>
        </w:rPr>
        <w:t>)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、遥感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ab/>
      </w:r>
      <w:r>
        <w:rPr>
          <w:rFonts w:ascii="FangSong" w:hAnsi="FangSong" w:eastAsia="FangSong" w:cs="FangSong"/>
          <w:sz w:val="28"/>
          <w:szCs w:val="28"/>
          <w:spacing w:val="-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RS</w:t>
      </w:r>
      <w:r>
        <w:rPr>
          <w:rFonts w:ascii="FangSong" w:hAnsi="FangSong" w:eastAsia="FangSong" w:cs="FangSong"/>
          <w:sz w:val="28"/>
          <w:szCs w:val="28"/>
          <w:spacing w:val="-6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、大数据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Big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Data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等现代技术手段和方法，综合集成地域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分异、区域</w:t>
      </w:r>
      <w:r>
        <w:rPr>
          <w:rFonts w:ascii="FangSong" w:hAnsi="FangSong" w:eastAsia="FangSong" w:cs="FangSong"/>
          <w:sz w:val="28"/>
          <w:szCs w:val="28"/>
          <w:spacing w:val="-5"/>
        </w:rPr>
        <w:t>本</w:t>
      </w:r>
      <w:r>
        <w:rPr>
          <w:rFonts w:ascii="FangSong" w:hAnsi="FangSong" w:eastAsia="FangSong" w:cs="FangSong"/>
          <w:sz w:val="28"/>
          <w:szCs w:val="28"/>
          <w:spacing w:val="-3"/>
        </w:rPr>
        <w:t>底、动态发展和区域调控信息，开展地理信息系统建模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与应用、资源环境</w:t>
      </w:r>
      <w:r>
        <w:rPr>
          <w:rFonts w:ascii="FangSong" w:hAnsi="FangSong" w:eastAsia="FangSong" w:cs="FangSong"/>
          <w:sz w:val="28"/>
          <w:szCs w:val="28"/>
          <w:spacing w:val="-3"/>
        </w:rPr>
        <w:t>遥</w:t>
      </w:r>
      <w:r>
        <w:rPr>
          <w:rFonts w:ascii="FangSong" w:hAnsi="FangSong" w:eastAsia="FangSong" w:cs="FangSong"/>
          <w:sz w:val="28"/>
          <w:szCs w:val="28"/>
          <w:spacing w:val="-2"/>
        </w:rPr>
        <w:t>感、地理信息系统理论方法与技术开发等研究，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构建热带海</w:t>
      </w:r>
      <w:r>
        <w:rPr>
          <w:rFonts w:ascii="FangSong" w:hAnsi="FangSong" w:eastAsia="FangSong" w:cs="FangSong"/>
          <w:sz w:val="28"/>
          <w:szCs w:val="28"/>
          <w:spacing w:val="-5"/>
        </w:rPr>
        <w:t>岛</w:t>
      </w:r>
      <w:r>
        <w:rPr>
          <w:rFonts w:ascii="FangSong" w:hAnsi="FangSong" w:eastAsia="FangSong" w:cs="FangSong"/>
          <w:sz w:val="28"/>
          <w:szCs w:val="28"/>
          <w:spacing w:val="-3"/>
        </w:rPr>
        <w:t>资源环境信息数据平台，模拟热带海岛地理环境变化过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程，揭示</w:t>
      </w:r>
      <w:r>
        <w:rPr>
          <w:rFonts w:ascii="FangSong" w:hAnsi="FangSong" w:eastAsia="FangSong" w:cs="FangSong"/>
          <w:sz w:val="28"/>
          <w:szCs w:val="28"/>
          <w:spacing w:val="-5"/>
        </w:rPr>
        <w:t>自</w:t>
      </w:r>
      <w:r>
        <w:rPr>
          <w:rFonts w:ascii="FangSong" w:hAnsi="FangSong" w:eastAsia="FangSong" w:cs="FangSong"/>
          <w:sz w:val="28"/>
          <w:szCs w:val="28"/>
          <w:spacing w:val="-3"/>
        </w:rPr>
        <w:t>然、人文、环境交互作用机理，为区域可持续发展提供科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学依据和技术支</w:t>
      </w:r>
      <w:r>
        <w:rPr>
          <w:rFonts w:ascii="FangSong" w:hAnsi="FangSong" w:eastAsia="FangSong" w:cs="FangSong"/>
          <w:sz w:val="28"/>
          <w:szCs w:val="28"/>
          <w:spacing w:val="-1"/>
        </w:rPr>
        <w:t>撑。</w:t>
      </w:r>
    </w:p>
    <w:p>
      <w:pPr>
        <w:ind w:left="589"/>
        <w:spacing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1"/>
        </w:rPr>
        <w:t>(三)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1"/>
        </w:rPr>
        <w:t>研究生规模及结构</w:t>
      </w:r>
    </w:p>
    <w:p>
      <w:pPr>
        <w:ind w:left="576"/>
        <w:spacing w:before="212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年地理学学位点规模及结构见表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>：</w:t>
      </w:r>
    </w:p>
    <w:p>
      <w:pPr>
        <w:ind w:left="2235"/>
        <w:spacing w:before="199" w:line="230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7"/>
        </w:rPr>
        <w:t>表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年地理学学位点规模及结构</w:t>
      </w:r>
    </w:p>
    <w:p>
      <w:pPr>
        <w:spacing w:line="147" w:lineRule="exact"/>
        <w:rPr/>
      </w:pPr>
      <w:r/>
    </w:p>
    <w:tbl>
      <w:tblPr>
        <w:tblStyle w:val="2"/>
        <w:tblW w:w="8116" w:type="dxa"/>
        <w:tblInd w:w="10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51"/>
        <w:gridCol w:w="2608"/>
        <w:gridCol w:w="1439"/>
        <w:gridCol w:w="3018"/>
      </w:tblGrid>
      <w:tr>
        <w:trPr>
          <w:trHeight w:val="473" w:hRule="atLeast"/>
        </w:trPr>
        <w:tc>
          <w:tcPr>
            <w:tcW w:w="1051" w:type="dxa"/>
            <w:vAlign w:val="top"/>
          </w:tcPr>
          <w:p>
            <w:pPr>
              <w:ind w:left="302"/>
              <w:spacing w:before="195" w:line="223" w:lineRule="auto"/>
              <w:outlineLvl w:val="0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度</w:t>
            </w:r>
          </w:p>
        </w:tc>
        <w:tc>
          <w:tcPr>
            <w:tcW w:w="2608" w:type="dxa"/>
            <w:vAlign w:val="top"/>
          </w:tcPr>
          <w:p>
            <w:pPr>
              <w:ind w:left="119"/>
              <w:spacing w:before="195" w:line="223" w:lineRule="auto"/>
              <w:outlineLvl w:val="0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研究生招生人数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(人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)</w:t>
            </w:r>
          </w:p>
        </w:tc>
        <w:tc>
          <w:tcPr>
            <w:tcW w:w="1439" w:type="dxa"/>
            <w:vAlign w:val="top"/>
          </w:tcPr>
          <w:p>
            <w:pPr>
              <w:ind w:left="123"/>
              <w:spacing w:before="195" w:line="223" w:lineRule="auto"/>
              <w:outlineLvl w:val="0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校生(人)</w:t>
            </w:r>
          </w:p>
        </w:tc>
        <w:tc>
          <w:tcPr>
            <w:tcW w:w="3018" w:type="dxa"/>
            <w:vAlign w:val="top"/>
          </w:tcPr>
          <w:p>
            <w:pPr>
              <w:ind w:left="325"/>
              <w:spacing w:before="195" w:line="223" w:lineRule="auto"/>
              <w:outlineLvl w:val="0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毕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业和学位授予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(人)</w:t>
            </w:r>
          </w:p>
        </w:tc>
      </w:tr>
      <w:tr>
        <w:trPr>
          <w:trHeight w:val="473" w:hRule="atLeast"/>
        </w:trPr>
        <w:tc>
          <w:tcPr>
            <w:tcW w:w="1051" w:type="dxa"/>
            <w:vAlign w:val="top"/>
          </w:tcPr>
          <w:p>
            <w:pPr>
              <w:ind w:left="287"/>
              <w:spacing w:before="217" w:line="194" w:lineRule="auto"/>
              <w:outlineLvl w:val="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022</w:t>
            </w:r>
          </w:p>
        </w:tc>
        <w:tc>
          <w:tcPr>
            <w:tcW w:w="2608" w:type="dxa"/>
            <w:vAlign w:val="top"/>
          </w:tcPr>
          <w:p>
            <w:pPr>
              <w:ind w:left="1184"/>
              <w:spacing w:before="216" w:line="195" w:lineRule="auto"/>
              <w:outlineLvl w:val="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21</w:t>
            </w:r>
          </w:p>
        </w:tc>
        <w:tc>
          <w:tcPr>
            <w:tcW w:w="1439" w:type="dxa"/>
            <w:vAlign w:val="top"/>
          </w:tcPr>
          <w:p>
            <w:pPr>
              <w:ind w:left="608"/>
              <w:spacing w:before="217" w:line="194" w:lineRule="auto"/>
              <w:outlineLvl w:val="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50</w:t>
            </w:r>
          </w:p>
        </w:tc>
        <w:tc>
          <w:tcPr>
            <w:tcW w:w="3018" w:type="dxa"/>
            <w:vAlign w:val="top"/>
          </w:tcPr>
          <w:p>
            <w:pPr>
              <w:ind w:left="1455"/>
              <w:spacing w:before="216" w:line="195" w:lineRule="auto"/>
              <w:outlineLvl w:val="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</w:tr>
    </w:tbl>
    <w:p>
      <w:pPr>
        <w:spacing w:line="249" w:lineRule="auto"/>
        <w:rPr>
          <w:rFonts w:ascii="Arial"/>
          <w:sz w:val="21"/>
        </w:rPr>
      </w:pPr>
      <w:r/>
    </w:p>
    <w:p>
      <w:pPr>
        <w:ind w:left="669"/>
        <w:spacing w:before="114" w:line="470" w:lineRule="exact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16"/>
          <w:position w:val="2"/>
        </w:rPr>
        <w:t>二</w:t>
      </w:r>
      <w:r>
        <w:rPr>
          <w:rFonts w:ascii="SimHei" w:hAnsi="SimHei" w:eastAsia="SimHei" w:cs="SimHei"/>
          <w:sz w:val="35"/>
          <w:szCs w:val="35"/>
          <w:spacing w:val="12"/>
          <w:position w:val="2"/>
        </w:rPr>
        <w:t>、</w:t>
      </w:r>
      <w:r>
        <w:rPr>
          <w:rFonts w:ascii="SimHei" w:hAnsi="SimHei" w:eastAsia="SimHei" w:cs="SimHei"/>
          <w:sz w:val="35"/>
          <w:szCs w:val="35"/>
          <w:spacing w:val="8"/>
          <w:position w:val="2"/>
        </w:rPr>
        <w:t>研究生党建与思想政治教育工作</w:t>
      </w:r>
    </w:p>
    <w:p>
      <w:pPr>
        <w:ind w:left="589"/>
        <w:spacing w:before="21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一)</w:t>
      </w:r>
      <w:r>
        <w:rPr>
          <w:rFonts w:ascii="SimSun" w:hAnsi="SimSun" w:eastAsia="SimSun" w:cs="SimSun"/>
          <w:sz w:val="28"/>
          <w:szCs w:val="28"/>
          <w:spacing w:val="10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思政课程与课程思政</w:t>
      </w:r>
    </w:p>
    <w:p>
      <w:pPr>
        <w:ind w:left="29" w:right="27" w:firstLine="572"/>
        <w:spacing w:before="213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点坚持立德树人，大力推行课程思政，强化研究生思想政治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教育，将思</w:t>
      </w:r>
      <w:r>
        <w:rPr>
          <w:rFonts w:ascii="FangSong" w:hAnsi="FangSong" w:eastAsia="FangSong" w:cs="FangSong"/>
          <w:sz w:val="28"/>
          <w:szCs w:val="28"/>
          <w:spacing w:val="-5"/>
        </w:rPr>
        <w:t>想</w:t>
      </w:r>
      <w:r>
        <w:rPr>
          <w:rFonts w:ascii="FangSong" w:hAnsi="FangSong" w:eastAsia="FangSong" w:cs="FangSong"/>
          <w:sz w:val="28"/>
          <w:szCs w:val="28"/>
          <w:spacing w:val="-3"/>
        </w:rPr>
        <w:t>政治教育元素和思想政治教育功能贯穿于研究生教育教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2"/>
        </w:rPr>
        <w:t>学</w:t>
      </w:r>
      <w:r>
        <w:rPr>
          <w:rFonts w:ascii="FangSong" w:hAnsi="FangSong" w:eastAsia="FangSong" w:cs="FangSong"/>
          <w:sz w:val="28"/>
          <w:szCs w:val="28"/>
          <w:spacing w:val="-13"/>
        </w:rPr>
        <w:t>改</w:t>
      </w:r>
      <w:r>
        <w:rPr>
          <w:rFonts w:ascii="FangSong" w:hAnsi="FangSong" w:eastAsia="FangSong" w:cs="FangSong"/>
          <w:sz w:val="28"/>
          <w:szCs w:val="28"/>
          <w:spacing w:val="-11"/>
        </w:rPr>
        <w:t>革全过程。主要做法：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1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学校开设《自然辩证法概论》、《中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国特色社</w:t>
      </w:r>
      <w:r>
        <w:rPr>
          <w:rFonts w:ascii="FangSong" w:hAnsi="FangSong" w:eastAsia="FangSong" w:cs="FangSong"/>
          <w:sz w:val="28"/>
          <w:szCs w:val="28"/>
          <w:spacing w:val="-5"/>
        </w:rPr>
        <w:t>会</w:t>
      </w:r>
      <w:r>
        <w:rPr>
          <w:rFonts w:ascii="FangSong" w:hAnsi="FangSong" w:eastAsia="FangSong" w:cs="FangSong"/>
          <w:sz w:val="28"/>
          <w:szCs w:val="28"/>
          <w:spacing w:val="-3"/>
        </w:rPr>
        <w:t>主义理论与实践研究》等课程，定期开展思政教育宣讲交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流会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在专业课教学过程中提升思政教育亲和力和针对性。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以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课程教学方</w:t>
      </w:r>
      <w:r>
        <w:rPr>
          <w:rFonts w:ascii="FangSong" w:hAnsi="FangSong" w:eastAsia="FangSong" w:cs="FangSong"/>
          <w:sz w:val="28"/>
          <w:szCs w:val="28"/>
          <w:spacing w:val="-5"/>
        </w:rPr>
        <w:t>式</w:t>
      </w:r>
      <w:r>
        <w:rPr>
          <w:rFonts w:ascii="FangSong" w:hAnsi="FangSong" w:eastAsia="FangSong" w:cs="FangSong"/>
          <w:sz w:val="28"/>
          <w:szCs w:val="28"/>
          <w:spacing w:val="-3"/>
        </w:rPr>
        <w:t>多元化改革强化地理学基础理论方法、学科前沿和区域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特色问题</w:t>
      </w:r>
      <w:r>
        <w:rPr>
          <w:rFonts w:ascii="FangSong" w:hAnsi="FangSong" w:eastAsia="FangSong" w:cs="FangSong"/>
          <w:sz w:val="28"/>
          <w:szCs w:val="28"/>
          <w:spacing w:val="-5"/>
        </w:rPr>
        <w:t>教</w:t>
      </w:r>
      <w:r>
        <w:rPr>
          <w:rFonts w:ascii="FangSong" w:hAnsi="FangSong" w:eastAsia="FangSong" w:cs="FangSong"/>
          <w:sz w:val="28"/>
          <w:szCs w:val="28"/>
          <w:spacing w:val="-3"/>
        </w:rPr>
        <w:t>学。开展了《现代人文地理学》和《地球系统科学》两门</w:t>
      </w:r>
    </w:p>
    <w:p>
      <w:pPr>
        <w:sectPr>
          <w:footerReference w:type="default" r:id="rId6"/>
          <w:pgSz w:w="11906" w:h="16839"/>
          <w:pgMar w:top="400" w:right="1766" w:bottom="1168" w:left="1785" w:header="0" w:footer="1008" w:gutter="0"/>
        </w:sectPr>
        <w:rPr/>
      </w:pP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29" w:right="20"/>
        <w:spacing w:before="91" w:line="36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核心专业课程的课程思政教学试点</w:t>
      </w:r>
      <w:r>
        <w:rPr>
          <w:rFonts w:ascii="FangSong" w:hAnsi="FangSong" w:eastAsia="FangSong" w:cs="FangSong"/>
          <w:sz w:val="28"/>
          <w:szCs w:val="28"/>
        </w:rPr>
        <w:t>示范，构建专业基础课程</w:t>
      </w:r>
      <w:r>
        <w:rPr>
          <w:rFonts w:ascii="Times New Roman" w:hAnsi="Times New Roman" w:eastAsia="Times New Roman" w:cs="Times New Roman"/>
          <w:sz w:val="28"/>
          <w:szCs w:val="28"/>
        </w:rPr>
        <w:t>+</w:t>
      </w:r>
      <w:r>
        <w:rPr>
          <w:rFonts w:ascii="FangSong" w:hAnsi="FangSong" w:eastAsia="FangSong" w:cs="FangSong"/>
          <w:sz w:val="28"/>
          <w:szCs w:val="28"/>
        </w:rPr>
        <w:t>学科前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沿动态专题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+</w:t>
      </w:r>
      <w:r>
        <w:rPr>
          <w:rFonts w:ascii="FangSong" w:hAnsi="FangSong" w:eastAsia="FangSong" w:cs="FangSong"/>
          <w:sz w:val="28"/>
          <w:szCs w:val="28"/>
          <w:spacing w:val="-6"/>
        </w:rPr>
        <w:t>热带</w:t>
      </w:r>
      <w:r>
        <w:rPr>
          <w:rFonts w:ascii="FangSong" w:hAnsi="FangSong" w:eastAsia="FangSong" w:cs="FangSong"/>
          <w:sz w:val="28"/>
          <w:szCs w:val="28"/>
          <w:spacing w:val="-5"/>
        </w:rPr>
        <w:t>海</w:t>
      </w:r>
      <w:r>
        <w:rPr>
          <w:rFonts w:ascii="FangSong" w:hAnsi="FangSong" w:eastAsia="FangSong" w:cs="FangSong"/>
          <w:sz w:val="28"/>
          <w:szCs w:val="28"/>
          <w:spacing w:val="-3"/>
        </w:rPr>
        <w:t>岛区域特色专题融合的特色课程体系。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围绕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研究生培养</w:t>
      </w:r>
      <w:r>
        <w:rPr>
          <w:rFonts w:ascii="FangSong" w:hAnsi="FangSong" w:eastAsia="FangSong" w:cs="FangSong"/>
          <w:sz w:val="28"/>
          <w:szCs w:val="28"/>
          <w:spacing w:val="-5"/>
        </w:rPr>
        <w:t>目</w:t>
      </w:r>
      <w:r>
        <w:rPr>
          <w:rFonts w:ascii="FangSong" w:hAnsi="FangSong" w:eastAsia="FangSong" w:cs="FangSong"/>
          <w:sz w:val="28"/>
          <w:szCs w:val="28"/>
          <w:spacing w:val="-3"/>
        </w:rPr>
        <w:t>标，转变传统单一的教师课堂讲授方式，打造教师和学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生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“</w:t>
      </w:r>
      <w:r>
        <w:rPr>
          <w:rFonts w:ascii="FangSong" w:hAnsi="FangSong" w:eastAsia="FangSong" w:cs="FangSong"/>
          <w:sz w:val="28"/>
          <w:szCs w:val="28"/>
          <w:spacing w:val="-4"/>
        </w:rPr>
        <w:t>双主体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”</w:t>
      </w:r>
      <w:r>
        <w:rPr>
          <w:rFonts w:ascii="FangSong" w:hAnsi="FangSong" w:eastAsia="FangSong" w:cs="FangSong"/>
          <w:sz w:val="28"/>
          <w:szCs w:val="28"/>
          <w:spacing w:val="-2"/>
        </w:rPr>
        <w:t>互动，以学生为中心的课程教学模式，将课程讲授、课堂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讨论</w:t>
      </w:r>
      <w:r>
        <w:rPr>
          <w:rFonts w:ascii="FangSong" w:hAnsi="FangSong" w:eastAsia="FangSong" w:cs="FangSong"/>
          <w:sz w:val="28"/>
          <w:szCs w:val="28"/>
          <w:spacing w:val="-3"/>
        </w:rPr>
        <w:t>、课后互动和教师的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" w:hAnsi="FangSong" w:eastAsia="FangSong" w:cs="FangSong"/>
          <w:sz w:val="28"/>
          <w:szCs w:val="28"/>
          <w:spacing w:val="-3"/>
        </w:rPr>
        <w:t>导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、学生的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" w:hAnsi="FangSong" w:eastAsia="FangSong" w:cs="FangSong"/>
          <w:sz w:val="28"/>
          <w:szCs w:val="28"/>
          <w:spacing w:val="-3"/>
        </w:rPr>
        <w:t>思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”</w:t>
      </w:r>
      <w:r>
        <w:rPr>
          <w:rFonts w:ascii="FangSong" w:hAnsi="FangSong" w:eastAsia="FangSong" w:cs="FangSong"/>
          <w:sz w:val="28"/>
          <w:szCs w:val="28"/>
          <w:spacing w:val="-3"/>
        </w:rPr>
        <w:t>有机融合。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基于课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程基</w:t>
      </w:r>
      <w:r>
        <w:rPr>
          <w:rFonts w:ascii="FangSong" w:hAnsi="FangSong" w:eastAsia="FangSong" w:cs="FangSong"/>
          <w:sz w:val="28"/>
          <w:szCs w:val="28"/>
          <w:spacing w:val="-16"/>
        </w:rPr>
        <w:t>本</w:t>
      </w:r>
      <w:r>
        <w:rPr>
          <w:rFonts w:ascii="FangSong" w:hAnsi="FangSong" w:eastAsia="FangSong" w:cs="FangSong"/>
          <w:sz w:val="28"/>
          <w:szCs w:val="28"/>
          <w:spacing w:val="-9"/>
        </w:rPr>
        <w:t>理论方法讲授，引导学生参与项目研究、社会实践和学术研讨，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强化学生</w:t>
      </w:r>
      <w:r>
        <w:rPr>
          <w:rFonts w:ascii="FangSong" w:hAnsi="FangSong" w:eastAsia="FangSong" w:cs="FangSong"/>
          <w:sz w:val="28"/>
          <w:szCs w:val="28"/>
          <w:spacing w:val="-7"/>
        </w:rPr>
        <w:t>实</w:t>
      </w:r>
      <w:r>
        <w:rPr>
          <w:rFonts w:ascii="FangSong" w:hAnsi="FangSong" w:eastAsia="FangSong" w:cs="FangSong"/>
          <w:sz w:val="28"/>
          <w:szCs w:val="28"/>
          <w:spacing w:val="-4"/>
        </w:rPr>
        <w:t>践应用能力培养，积极探索课程教学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+</w:t>
      </w:r>
      <w:r>
        <w:rPr>
          <w:rFonts w:ascii="FangSong" w:hAnsi="FangSong" w:eastAsia="FangSong" w:cs="FangSong"/>
          <w:sz w:val="28"/>
          <w:szCs w:val="28"/>
          <w:spacing w:val="-4"/>
        </w:rPr>
        <w:t>学术实践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+</w:t>
      </w:r>
      <w:r>
        <w:rPr>
          <w:rFonts w:ascii="FangSong" w:hAnsi="FangSong" w:eastAsia="FangSong" w:cs="FangSong"/>
          <w:sz w:val="28"/>
          <w:szCs w:val="28"/>
          <w:spacing w:val="-4"/>
        </w:rPr>
        <w:t>思政教育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的教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模式。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开设“红色学堂”党团育人课程、研究生思想政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治教育辅导员课程、对研究生的思想政</w:t>
      </w:r>
      <w:r>
        <w:rPr>
          <w:rFonts w:ascii="FangSong" w:hAnsi="FangSong" w:eastAsia="FangSong" w:cs="FangSong"/>
          <w:sz w:val="28"/>
          <w:szCs w:val="28"/>
        </w:rPr>
        <w:t>治、学术道德教育。</w:t>
      </w:r>
    </w:p>
    <w:p>
      <w:pPr>
        <w:ind w:left="589"/>
        <w:spacing w:before="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二)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思想政治教育队伍建设</w:t>
      </w:r>
    </w:p>
    <w:p>
      <w:pPr>
        <w:ind w:left="35" w:right="101" w:firstLine="565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5"/>
        </w:rPr>
        <w:t>校</w:t>
      </w:r>
      <w:r>
        <w:rPr>
          <w:rFonts w:ascii="FangSong" w:hAnsi="FangSong" w:eastAsia="FangSong" w:cs="FangSong"/>
          <w:sz w:val="28"/>
          <w:szCs w:val="28"/>
          <w:spacing w:val="-4"/>
        </w:rPr>
        <w:t>党委对研究生思想政治教育工作统一领导、统一部署、统一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实施、统一检查</w:t>
      </w:r>
      <w:r>
        <w:rPr>
          <w:rFonts w:ascii="FangSong" w:hAnsi="FangSong" w:eastAsia="FangSong" w:cs="FangSong"/>
          <w:sz w:val="28"/>
          <w:szCs w:val="28"/>
          <w:spacing w:val="-5"/>
        </w:rPr>
        <w:t>和</w:t>
      </w:r>
      <w:r>
        <w:rPr>
          <w:rFonts w:ascii="FangSong" w:hAnsi="FangSong" w:eastAsia="FangSong" w:cs="FangSong"/>
          <w:sz w:val="28"/>
          <w:szCs w:val="28"/>
          <w:spacing w:val="-3"/>
        </w:rPr>
        <w:t>评估。党委分管学生思想政治工作的副书记主抓研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究</w:t>
      </w:r>
      <w:r>
        <w:rPr>
          <w:rFonts w:ascii="FangSong" w:hAnsi="FangSong" w:eastAsia="FangSong" w:cs="FangSong"/>
          <w:sz w:val="28"/>
          <w:szCs w:val="28"/>
          <w:spacing w:val="-2"/>
        </w:rPr>
        <w:t>生思想政治教育工作。</w:t>
      </w:r>
    </w:p>
    <w:p>
      <w:pPr>
        <w:ind w:left="597"/>
        <w:spacing w:before="1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主要做法：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学院党委履行研究生思想政治教育工作主体责</w:t>
      </w:r>
    </w:p>
    <w:p>
      <w:pPr>
        <w:ind w:left="29"/>
        <w:spacing w:before="204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任，负责组织</w:t>
      </w:r>
      <w:r>
        <w:rPr>
          <w:rFonts w:ascii="FangSong" w:hAnsi="FangSong" w:eastAsia="FangSong" w:cs="FangSong"/>
          <w:sz w:val="28"/>
          <w:szCs w:val="28"/>
          <w:spacing w:val="-3"/>
        </w:rPr>
        <w:t>实施学校关于研究生思想政治教育的工作部署，把研究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生</w:t>
      </w:r>
      <w:r>
        <w:rPr>
          <w:rFonts w:ascii="FangSong" w:hAnsi="FangSong" w:eastAsia="FangSong" w:cs="FangSong"/>
          <w:sz w:val="28"/>
          <w:szCs w:val="28"/>
          <w:spacing w:val="6"/>
        </w:rPr>
        <w:t>的思想政治教育工作纳入本学院学生思想政治教育工作的整体规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划；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建立了以学院党委书记为第一责任人、分管学生工作的副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书记主</w:t>
      </w:r>
      <w:r>
        <w:rPr>
          <w:rFonts w:ascii="FangSong" w:hAnsi="FangSong" w:eastAsia="FangSong" w:cs="FangSong"/>
          <w:sz w:val="28"/>
          <w:szCs w:val="28"/>
        </w:rPr>
        <w:t>抓、辅导员及研究生导师具体实施的思想政治教育工作机制，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把思想政治</w:t>
      </w:r>
      <w:r>
        <w:rPr>
          <w:rFonts w:ascii="FangSong" w:hAnsi="FangSong" w:eastAsia="FangSong" w:cs="FangSong"/>
          <w:sz w:val="28"/>
          <w:szCs w:val="28"/>
          <w:spacing w:val="-5"/>
        </w:rPr>
        <w:t>教</w:t>
      </w:r>
      <w:r>
        <w:rPr>
          <w:rFonts w:ascii="FangSong" w:hAnsi="FangSong" w:eastAsia="FangSong" w:cs="FangSong"/>
          <w:sz w:val="28"/>
          <w:szCs w:val="28"/>
          <w:spacing w:val="-3"/>
        </w:rPr>
        <w:t>育渗透到研究生培养和管理的各个环节，做到思想政治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教育与业</w:t>
      </w:r>
      <w:r>
        <w:rPr>
          <w:rFonts w:ascii="FangSong" w:hAnsi="FangSong" w:eastAsia="FangSong" w:cs="FangSong"/>
          <w:sz w:val="28"/>
          <w:szCs w:val="28"/>
          <w:spacing w:val="-5"/>
        </w:rPr>
        <w:t>务</w:t>
      </w:r>
      <w:r>
        <w:rPr>
          <w:rFonts w:ascii="FangSong" w:hAnsi="FangSong" w:eastAsia="FangSong" w:cs="FangSong"/>
          <w:sz w:val="28"/>
          <w:szCs w:val="28"/>
          <w:spacing w:val="-3"/>
        </w:rPr>
        <w:t>培养紧密结合，形成全员育人、全方位育人、全过程育人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格</w:t>
      </w:r>
      <w:r>
        <w:rPr>
          <w:rFonts w:ascii="FangSong" w:hAnsi="FangSong" w:eastAsia="FangSong" w:cs="FangSong"/>
          <w:sz w:val="28"/>
          <w:szCs w:val="28"/>
          <w:spacing w:val="-5"/>
        </w:rPr>
        <w:t>局</w:t>
      </w:r>
      <w:r>
        <w:rPr>
          <w:rFonts w:ascii="FangSong" w:hAnsi="FangSong" w:eastAsia="FangSong" w:cs="FangSong"/>
          <w:sz w:val="28"/>
          <w:szCs w:val="28"/>
          <w:spacing w:val="-3"/>
        </w:rPr>
        <w:t>；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发挥组织育人的作用，通过研究生的党组织、团学组织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的</w:t>
      </w:r>
      <w:r>
        <w:rPr>
          <w:rFonts w:ascii="FangSong" w:hAnsi="FangSong" w:eastAsia="FangSong" w:cs="FangSong"/>
          <w:sz w:val="28"/>
          <w:szCs w:val="28"/>
          <w:spacing w:val="-9"/>
        </w:rPr>
        <w:t>建设实践活动，提升研究生的自我管理、自我约束、自我教育能力。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组织实施研</w:t>
      </w:r>
      <w:r>
        <w:rPr>
          <w:rFonts w:ascii="FangSong" w:hAnsi="FangSong" w:eastAsia="FangSong" w:cs="FangSong"/>
          <w:sz w:val="28"/>
          <w:szCs w:val="28"/>
          <w:spacing w:val="-5"/>
        </w:rPr>
        <w:t>究</w:t>
      </w:r>
      <w:r>
        <w:rPr>
          <w:rFonts w:ascii="FangSong" w:hAnsi="FangSong" w:eastAsia="FangSong" w:cs="FangSong"/>
          <w:sz w:val="28"/>
          <w:szCs w:val="28"/>
          <w:spacing w:val="-3"/>
        </w:rPr>
        <w:t>生的奖助学金、奖惩考评、研究生管理、安全稳定、研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究生就业指导</w:t>
      </w:r>
      <w:r>
        <w:rPr>
          <w:rFonts w:ascii="FangSong" w:hAnsi="FangSong" w:eastAsia="FangSong" w:cs="FangSong"/>
          <w:sz w:val="28"/>
          <w:szCs w:val="28"/>
          <w:spacing w:val="-3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" w:hAnsi="FangSong" w:eastAsia="FangSong" w:cs="FangSong"/>
          <w:sz w:val="28"/>
          <w:szCs w:val="28"/>
          <w:spacing w:val="-2"/>
        </w:rPr>
        <w:t>三助一辅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" w:hAnsi="FangSong" w:eastAsia="FangSong" w:cs="FangSong"/>
          <w:sz w:val="28"/>
          <w:szCs w:val="28"/>
          <w:spacing w:val="-2"/>
        </w:rPr>
        <w:t>等工作，组织研究生开展科技、学术、文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化、</w:t>
      </w:r>
      <w:r>
        <w:rPr>
          <w:rFonts w:ascii="FangSong" w:hAnsi="FangSong" w:eastAsia="FangSong" w:cs="FangSong"/>
          <w:sz w:val="28"/>
          <w:szCs w:val="28"/>
          <w:spacing w:val="-5"/>
        </w:rPr>
        <w:t>体</w:t>
      </w:r>
      <w:r>
        <w:rPr>
          <w:rFonts w:ascii="FangSong" w:hAnsi="FangSong" w:eastAsia="FangSong" w:cs="FangSong"/>
          <w:sz w:val="28"/>
          <w:szCs w:val="28"/>
          <w:spacing w:val="-3"/>
        </w:rPr>
        <w:t>育等活动。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建立了一支政治素质过硬、业务水平高的导</w:t>
      </w:r>
    </w:p>
    <w:p>
      <w:pPr>
        <w:sectPr>
          <w:footerReference w:type="default" r:id="rId7"/>
          <w:pgSz w:w="11906" w:h="16839"/>
          <w:pgMar w:top="400" w:right="1693" w:bottom="1168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0" w:right="96" w:firstLine="18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师</w:t>
      </w:r>
      <w:r>
        <w:rPr>
          <w:rFonts w:ascii="FangSong" w:hAnsi="FangSong" w:eastAsia="FangSong" w:cs="FangSong"/>
          <w:sz w:val="28"/>
          <w:szCs w:val="28"/>
          <w:spacing w:val="-6"/>
        </w:rPr>
        <w:t>队</w:t>
      </w:r>
      <w:r>
        <w:rPr>
          <w:rFonts w:ascii="FangSong" w:hAnsi="FangSong" w:eastAsia="FangSong" w:cs="FangSong"/>
          <w:sz w:val="28"/>
          <w:szCs w:val="28"/>
          <w:spacing w:val="-4"/>
        </w:rPr>
        <w:t>伍发挥导师言传身教作用，做研究生成长成才的引路人，既做学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业导师，又做人生导师，不断完善思想</w:t>
      </w:r>
      <w:r>
        <w:rPr>
          <w:rFonts w:ascii="FangSong" w:hAnsi="FangSong" w:eastAsia="FangSong" w:cs="FangSong"/>
          <w:sz w:val="28"/>
          <w:szCs w:val="28"/>
        </w:rPr>
        <w:t>政治教育体系。</w:t>
      </w:r>
    </w:p>
    <w:p>
      <w:pPr>
        <w:ind w:left="589"/>
        <w:spacing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5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三)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研究生党建与校园文化建设</w:t>
      </w:r>
    </w:p>
    <w:p>
      <w:pPr>
        <w:ind w:left="601"/>
        <w:spacing w:before="212" w:line="22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1</w:t>
      </w:r>
      <w:r>
        <w:rPr>
          <w:rFonts w:ascii="FangSong" w:hAnsi="FangSong" w:eastAsia="FangSong" w:cs="FangSong"/>
          <w:sz w:val="28"/>
          <w:szCs w:val="28"/>
          <w:spacing w:val="-5"/>
        </w:rPr>
        <w:t>.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研究生党建</w:t>
      </w:r>
    </w:p>
    <w:p>
      <w:pPr>
        <w:ind w:left="31" w:right="96" w:firstLine="594"/>
        <w:spacing w:before="205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由</w:t>
      </w:r>
      <w:r>
        <w:rPr>
          <w:rFonts w:ascii="FangSong" w:hAnsi="FangSong" w:eastAsia="FangSong" w:cs="FangSong"/>
          <w:sz w:val="28"/>
          <w:szCs w:val="28"/>
          <w:spacing w:val="-5"/>
        </w:rPr>
        <w:t>于学院研究生未达到建立研究生党支部规模，因此目前与学院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本科</w:t>
      </w:r>
      <w:r>
        <w:rPr>
          <w:rFonts w:ascii="FangSong" w:hAnsi="FangSong" w:eastAsia="FangSong" w:cs="FangSong"/>
          <w:sz w:val="28"/>
          <w:szCs w:val="28"/>
          <w:spacing w:val="-11"/>
        </w:rPr>
        <w:t>生</w:t>
      </w:r>
      <w:r>
        <w:rPr>
          <w:rFonts w:ascii="FangSong" w:hAnsi="FangSong" w:eastAsia="FangSong" w:cs="FangSong"/>
          <w:sz w:val="28"/>
          <w:szCs w:val="28"/>
          <w:spacing w:val="-7"/>
        </w:rPr>
        <w:t>党支部一起开展工作。学院现有研究生党员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16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名，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占研究生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总数的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25%，其中，正式党员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14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人，预备党员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2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人。2022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年我院</w:t>
      </w:r>
      <w:r>
        <w:rPr>
          <w:rFonts w:ascii="FangSong" w:hAnsi="FangSong" w:eastAsia="FangSong" w:cs="FangSong"/>
          <w:sz w:val="28"/>
          <w:szCs w:val="28"/>
          <w:spacing w:val="-9"/>
        </w:rPr>
        <w:t>开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展的</w:t>
      </w:r>
      <w:r>
        <w:rPr>
          <w:rFonts w:ascii="FangSong" w:hAnsi="FangSong" w:eastAsia="FangSong" w:cs="FangSong"/>
          <w:sz w:val="28"/>
          <w:szCs w:val="28"/>
          <w:spacing w:val="-1"/>
        </w:rPr>
        <w:t>研究生党建工作有以下几个方面：</w:t>
      </w:r>
    </w:p>
    <w:p>
      <w:pPr>
        <w:ind w:left="589"/>
        <w:spacing w:before="1" w:line="22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7"/>
        </w:rPr>
        <w:t>(</w:t>
      </w:r>
      <w:r>
        <w:rPr>
          <w:rFonts w:ascii="FangSong" w:hAnsi="FangSong" w:eastAsia="FangSong" w:cs="FangSong"/>
          <w:sz w:val="28"/>
          <w:szCs w:val="28"/>
          <w:spacing w:val="15"/>
        </w:rPr>
        <w:t>1)</w:t>
      </w:r>
      <w:r>
        <w:rPr>
          <w:rFonts w:ascii="FangSong" w:hAnsi="FangSong" w:eastAsia="FangSong" w:cs="FangSong"/>
          <w:sz w:val="28"/>
          <w:szCs w:val="28"/>
          <w:spacing w:val="1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思想建设</w:t>
      </w:r>
    </w:p>
    <w:p>
      <w:pPr>
        <w:ind w:left="1" w:firstLine="588"/>
        <w:spacing w:before="208" w:line="36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支部把理论学习</w:t>
      </w:r>
      <w:r>
        <w:rPr>
          <w:rFonts w:ascii="FangSong" w:hAnsi="FangSong" w:eastAsia="FangSong" w:cs="FangSong"/>
          <w:sz w:val="28"/>
          <w:szCs w:val="28"/>
          <w:spacing w:val="-5"/>
        </w:rPr>
        <w:t>作</w:t>
      </w:r>
      <w:r>
        <w:rPr>
          <w:rFonts w:ascii="FangSong" w:hAnsi="FangSong" w:eastAsia="FangSong" w:cs="FangSong"/>
          <w:sz w:val="28"/>
          <w:szCs w:val="28"/>
          <w:spacing w:val="-3"/>
        </w:rPr>
        <w:t>为党员思想建设的基础工程，坚持和不断完善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理</w:t>
      </w:r>
      <w:r>
        <w:rPr>
          <w:rFonts w:ascii="FangSong" w:hAnsi="FangSong" w:eastAsia="FangSong" w:cs="FangSong"/>
          <w:sz w:val="28"/>
          <w:szCs w:val="28"/>
          <w:spacing w:val="7"/>
        </w:rPr>
        <w:t>论学习制度，充分发挥党支部在政治理论学习中的领导和表率作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用，使政治理论学</w:t>
      </w:r>
      <w:r>
        <w:rPr>
          <w:rFonts w:ascii="FangSong" w:hAnsi="FangSong" w:eastAsia="FangSong" w:cs="FangSong"/>
          <w:sz w:val="28"/>
          <w:szCs w:val="28"/>
          <w:spacing w:val="-2"/>
        </w:rPr>
        <w:t>习有计划、有内容、有措施、有保障。紧密结合学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校党委理论中心组学</w:t>
      </w:r>
      <w:r>
        <w:rPr>
          <w:rFonts w:ascii="FangSong" w:hAnsi="FangSong" w:eastAsia="FangSong" w:cs="FangSong"/>
          <w:sz w:val="28"/>
          <w:szCs w:val="28"/>
          <w:spacing w:val="-3"/>
        </w:rPr>
        <w:t>习</w:t>
      </w:r>
      <w:r>
        <w:rPr>
          <w:rFonts w:ascii="FangSong" w:hAnsi="FangSong" w:eastAsia="FangSong" w:cs="FangSong"/>
          <w:sz w:val="28"/>
          <w:szCs w:val="28"/>
          <w:spacing w:val="-2"/>
        </w:rPr>
        <w:t>计划中的学习专题，通过学习《习近平总书记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在中央人才工作会</w:t>
      </w:r>
      <w:r>
        <w:rPr>
          <w:rFonts w:ascii="FangSong" w:hAnsi="FangSong" w:eastAsia="FangSong" w:cs="FangSong"/>
          <w:sz w:val="28"/>
          <w:szCs w:val="28"/>
          <w:spacing w:val="-2"/>
        </w:rPr>
        <w:t>议上的重要讲话》深入领会习近平新时代中国特色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社会主义思想的基本</w:t>
      </w:r>
      <w:r>
        <w:rPr>
          <w:rFonts w:ascii="FangSong" w:hAnsi="FangSong" w:eastAsia="FangSong" w:cs="FangSong"/>
          <w:sz w:val="28"/>
          <w:szCs w:val="28"/>
          <w:spacing w:val="-3"/>
        </w:rPr>
        <w:t>精</w:t>
      </w:r>
      <w:r>
        <w:rPr>
          <w:rFonts w:ascii="FangSong" w:hAnsi="FangSong" w:eastAsia="FangSong" w:cs="FangSong"/>
          <w:sz w:val="28"/>
          <w:szCs w:val="28"/>
          <w:spacing w:val="-2"/>
        </w:rPr>
        <w:t>神、基本内容、基本要求；专题学习《第二十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四届冬季奥林匹克运</w:t>
      </w:r>
      <w:r>
        <w:rPr>
          <w:rFonts w:ascii="FangSong" w:hAnsi="FangSong" w:eastAsia="FangSong" w:cs="FangSong"/>
          <w:sz w:val="28"/>
          <w:szCs w:val="28"/>
          <w:spacing w:val="-3"/>
        </w:rPr>
        <w:t>动</w:t>
      </w:r>
      <w:r>
        <w:rPr>
          <w:rFonts w:ascii="FangSong" w:hAnsi="FangSong" w:eastAsia="FangSong" w:cs="FangSong"/>
          <w:sz w:val="28"/>
          <w:szCs w:val="28"/>
          <w:spacing w:val="-2"/>
        </w:rPr>
        <w:t>会精神》；深入学习《十三届全国人大五次会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议》；专题学习《习</w:t>
      </w:r>
      <w:r>
        <w:rPr>
          <w:rFonts w:ascii="FangSong" w:hAnsi="FangSong" w:eastAsia="FangSong" w:cs="FangSong"/>
          <w:sz w:val="28"/>
          <w:szCs w:val="28"/>
          <w:spacing w:val="-3"/>
        </w:rPr>
        <w:t>近</w:t>
      </w:r>
      <w:r>
        <w:rPr>
          <w:rFonts w:ascii="FangSong" w:hAnsi="FangSong" w:eastAsia="FangSong" w:cs="FangSong"/>
          <w:sz w:val="28"/>
          <w:szCs w:val="28"/>
          <w:spacing w:val="-2"/>
        </w:rPr>
        <w:t>平总书记在海南考察时的重要讲话精神》，深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4"/>
        </w:rPr>
        <w:t>入领</w:t>
      </w:r>
      <w:r>
        <w:rPr>
          <w:rFonts w:ascii="FangSong" w:hAnsi="FangSong" w:eastAsia="FangSong" w:cs="FangSong"/>
          <w:sz w:val="28"/>
          <w:szCs w:val="28"/>
          <w:spacing w:val="2"/>
        </w:rPr>
        <w:t>会习近平总书记关于加快推进海南自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由贸易港建设的重要指示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批示精神，学习领会</w:t>
      </w:r>
      <w:r>
        <w:rPr>
          <w:rFonts w:ascii="FangSong" w:hAnsi="FangSong" w:eastAsia="FangSong" w:cs="FangSong"/>
          <w:sz w:val="28"/>
          <w:szCs w:val="28"/>
          <w:spacing w:val="-3"/>
        </w:rPr>
        <w:t>高</w:t>
      </w:r>
      <w:r>
        <w:rPr>
          <w:rFonts w:ascii="FangSong" w:hAnsi="FangSong" w:eastAsia="FangSong" w:cs="FangSong"/>
          <w:sz w:val="28"/>
          <w:szCs w:val="28"/>
          <w:spacing w:val="-2"/>
        </w:rPr>
        <w:t>质量高标准推进海南自由贸易港建设所需要的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7"/>
        </w:rPr>
        <w:t>业务知识等；学习《习近平总书记在庆祝中国共产主义青年团成</w:t>
      </w:r>
      <w:r>
        <w:rPr>
          <w:rFonts w:ascii="FangSong" w:hAnsi="FangSong" w:eastAsia="FangSong" w:cs="FangSong"/>
          <w:sz w:val="28"/>
          <w:szCs w:val="28"/>
          <w:spacing w:val="5"/>
        </w:rPr>
        <w:t>立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周年大会上</w:t>
      </w:r>
      <w:r>
        <w:rPr>
          <w:rFonts w:ascii="FangSong" w:hAnsi="FangSong" w:eastAsia="FangSong" w:cs="FangSong"/>
          <w:sz w:val="28"/>
          <w:szCs w:val="28"/>
        </w:rPr>
        <w:t>重要讲话精神》；深入学习《习近平总书记在中共中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央政治局第四十次</w:t>
      </w:r>
      <w:r>
        <w:rPr>
          <w:rFonts w:ascii="FangSong" w:hAnsi="FangSong" w:eastAsia="FangSong" w:cs="FangSong"/>
          <w:sz w:val="28"/>
          <w:szCs w:val="28"/>
          <w:spacing w:val="-2"/>
        </w:rPr>
        <w:t>集体学习时的重要讲话精神》；学习《习近平总书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2"/>
        </w:rPr>
        <w:t>记</w:t>
      </w:r>
      <w:r>
        <w:rPr>
          <w:rFonts w:ascii="FangSong" w:hAnsi="FangSong" w:eastAsia="FangSong" w:cs="FangSong"/>
          <w:sz w:val="28"/>
          <w:szCs w:val="28"/>
          <w:spacing w:val="-18"/>
        </w:rPr>
        <w:t>重</w:t>
      </w:r>
      <w:r>
        <w:rPr>
          <w:rFonts w:ascii="FangSong" w:hAnsi="FangSong" w:eastAsia="FangSong" w:cs="FangSong"/>
          <w:sz w:val="28"/>
          <w:szCs w:val="28"/>
          <w:spacing w:val="-11"/>
        </w:rPr>
        <w:t>要回信精神》；学习《习近平谈治国理政》第四卷；专题学习《贯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彻党的二十大精神》深入了解“党的二十大精神”、“伟大建党精神”</w:t>
      </w:r>
      <w:r>
        <w:rPr>
          <w:rFonts w:ascii="FangSong" w:hAnsi="FangSong" w:eastAsia="FangSong" w:cs="FangSong"/>
          <w:sz w:val="28"/>
          <w:szCs w:val="28"/>
          <w:spacing w:val="-16"/>
        </w:rPr>
        <w:t>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“钉钉子精神”、“</w:t>
      </w:r>
      <w:r>
        <w:rPr>
          <w:rFonts w:ascii="FangSong" w:hAnsi="FangSong" w:eastAsia="FangSong" w:cs="FangSong"/>
          <w:sz w:val="28"/>
          <w:szCs w:val="28"/>
          <w:spacing w:val="-3"/>
        </w:rPr>
        <w:t>历</w:t>
      </w:r>
      <w:r>
        <w:rPr>
          <w:rFonts w:ascii="FangSong" w:hAnsi="FangSong" w:eastAsia="FangSong" w:cs="FangSong"/>
          <w:sz w:val="28"/>
          <w:szCs w:val="28"/>
          <w:spacing w:val="-2"/>
        </w:rPr>
        <w:t>史自觉和主动精神”等；专题学习《中国共产</w:t>
      </w:r>
    </w:p>
    <w:p>
      <w:pPr>
        <w:sectPr>
          <w:footerReference w:type="default" r:id="rId8"/>
          <w:pgSz w:w="11906" w:h="16839"/>
          <w:pgMar w:top="400" w:right="1700" w:bottom="1165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3777995</wp:posOffset>
            </wp:positionH>
            <wp:positionV relativeFrom="page">
              <wp:posOffset>2470404</wp:posOffset>
            </wp:positionV>
            <wp:extent cx="2983991" cy="2238755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3991" cy="22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3768852</wp:posOffset>
            </wp:positionH>
            <wp:positionV relativeFrom="page">
              <wp:posOffset>4794504</wp:posOffset>
            </wp:positionV>
            <wp:extent cx="3023616" cy="2286000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361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700" w:right="536" w:firstLine="6"/>
        <w:spacing w:before="91" w:line="36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党</w:t>
      </w:r>
      <w:r>
        <w:rPr>
          <w:rFonts w:ascii="FangSong" w:hAnsi="FangSong" w:eastAsia="FangSong" w:cs="FangSong"/>
          <w:sz w:val="28"/>
          <w:szCs w:val="28"/>
          <w:spacing w:val="-3"/>
        </w:rPr>
        <w:t>章</w:t>
      </w:r>
      <w:r>
        <w:rPr>
          <w:rFonts w:ascii="FangSong" w:hAnsi="FangSong" w:eastAsia="FangSong" w:cs="FangSong"/>
          <w:sz w:val="28"/>
          <w:szCs w:val="28"/>
          <w:spacing w:val="-2"/>
        </w:rPr>
        <w:t>程》；学习《深刻领会新时代新征程中国共产党的使命任务》。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支</w:t>
      </w:r>
      <w:r>
        <w:rPr>
          <w:rFonts w:ascii="FangSong" w:hAnsi="FangSong" w:eastAsia="FangSong" w:cs="FangSong"/>
          <w:sz w:val="28"/>
          <w:szCs w:val="28"/>
          <w:spacing w:val="-7"/>
        </w:rPr>
        <w:t>部全年级组织专题学习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场；研究生党员学习笔记人均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篇；研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究生党员响</w:t>
      </w:r>
      <w:r>
        <w:rPr>
          <w:rFonts w:ascii="FangSong" w:hAnsi="FangSong" w:eastAsia="FangSong" w:cs="FangSong"/>
          <w:sz w:val="28"/>
          <w:szCs w:val="28"/>
          <w:spacing w:val="-3"/>
        </w:rPr>
        <w:t>应学院党委号召，组织收看中国共产党第二十次全国代表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大会</w:t>
      </w:r>
      <w:r>
        <w:rPr>
          <w:rFonts w:ascii="FangSong" w:hAnsi="FangSong" w:eastAsia="FangSong" w:cs="FangSong"/>
          <w:sz w:val="28"/>
          <w:szCs w:val="28"/>
          <w:spacing w:val="-5"/>
        </w:rPr>
        <w:t>、</w:t>
      </w:r>
      <w:r>
        <w:rPr>
          <w:rFonts w:ascii="FangSong" w:hAnsi="FangSong" w:eastAsia="FangSong" w:cs="FangSong"/>
          <w:sz w:val="28"/>
          <w:szCs w:val="28"/>
          <w:spacing w:val="-3"/>
        </w:rPr>
        <w:t>贯彻党的二十大精神专题系列会议等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(图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1)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。</w:t>
      </w:r>
    </w:p>
    <w:p>
      <w:pPr>
        <w:ind w:firstLine="7"/>
        <w:spacing w:before="214" w:line="3521" w:lineRule="exact"/>
        <w:textAlignment w:val="center"/>
        <w:rPr/>
      </w:pPr>
      <w:r>
        <w:drawing>
          <wp:inline distT="0" distB="0" distL="0" distR="0">
            <wp:extent cx="2979420" cy="223570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9420" cy="2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3590" w:lineRule="exact"/>
        <w:textAlignment w:val="center"/>
        <w:rPr/>
      </w:pPr>
      <w:r>
        <w:drawing>
          <wp:inline distT="0" distB="0" distL="0" distR="0">
            <wp:extent cx="2990087" cy="2279904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008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3766"/>
        <w:spacing w:before="75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图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</w:rPr>
        <w:t>研究生党员理论学习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259"/>
        <w:spacing w:before="91"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7"/>
        </w:rPr>
        <w:t>(</w:t>
      </w:r>
      <w:r>
        <w:rPr>
          <w:rFonts w:ascii="FangSong" w:hAnsi="FangSong" w:eastAsia="FangSong" w:cs="FangSong"/>
          <w:sz w:val="28"/>
          <w:szCs w:val="28"/>
          <w:spacing w:val="15"/>
        </w:rPr>
        <w:t>2)</w:t>
      </w:r>
      <w:r>
        <w:rPr>
          <w:rFonts w:ascii="FangSong" w:hAnsi="FangSong" w:eastAsia="FangSong" w:cs="FangSong"/>
          <w:sz w:val="28"/>
          <w:szCs w:val="28"/>
          <w:spacing w:val="1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作风建设</w:t>
      </w:r>
    </w:p>
    <w:p>
      <w:pPr>
        <w:ind w:left="699" w:right="508" w:firstLine="562"/>
        <w:spacing w:before="214" w:line="36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积极引导研究生党员坚持优良作风，不仅要以身作则，严格要</w:t>
      </w:r>
      <w:r>
        <w:rPr>
          <w:rFonts w:ascii="FangSong" w:hAnsi="FangSong" w:eastAsia="FangSong" w:cs="FangSong"/>
          <w:sz w:val="28"/>
          <w:szCs w:val="28"/>
          <w:spacing w:val="-1"/>
        </w:rPr>
        <w:t>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自</w:t>
      </w:r>
      <w:r>
        <w:rPr>
          <w:rFonts w:ascii="FangSong" w:hAnsi="FangSong" w:eastAsia="FangSong" w:cs="FangSong"/>
          <w:sz w:val="28"/>
          <w:szCs w:val="28"/>
          <w:spacing w:val="-9"/>
        </w:rPr>
        <w:t>己</w:t>
      </w:r>
      <w:r>
        <w:rPr>
          <w:rFonts w:ascii="FangSong" w:hAnsi="FangSong" w:eastAsia="FangSong" w:cs="FangSong"/>
          <w:sz w:val="28"/>
          <w:szCs w:val="28"/>
          <w:spacing w:val="-7"/>
        </w:rPr>
        <w:t>，也要在学习和生活中为其他同学做出榜样。2022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年，1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名硕士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研究</w:t>
      </w:r>
      <w:r>
        <w:rPr>
          <w:rFonts w:ascii="FangSong" w:hAnsi="FangSong" w:eastAsia="FangSong" w:cs="FangSong"/>
          <w:sz w:val="28"/>
          <w:szCs w:val="28"/>
          <w:spacing w:val="-10"/>
        </w:rPr>
        <w:t>生</w:t>
      </w:r>
      <w:r>
        <w:rPr>
          <w:rFonts w:ascii="FangSong" w:hAnsi="FangSong" w:eastAsia="FangSong" w:cs="FangSong"/>
          <w:sz w:val="28"/>
          <w:szCs w:val="28"/>
          <w:spacing w:val="-9"/>
        </w:rPr>
        <w:t>党员获得国家奖学金，1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名硕士研究生党员考取了博士研究生；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教</w:t>
      </w:r>
      <w:r>
        <w:rPr>
          <w:rFonts w:ascii="FangSong" w:hAnsi="FangSong" w:eastAsia="FangSong" w:cs="FangSong"/>
          <w:sz w:val="28"/>
          <w:szCs w:val="28"/>
          <w:spacing w:val="6"/>
        </w:rPr>
        <w:t>育全体研究生党员密切联系群众，并保持发挥党员的先进模范作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用；深入开展党风党纪教育，每年召开一次组织</w:t>
      </w:r>
      <w:r>
        <w:rPr>
          <w:rFonts w:ascii="FangSong" w:hAnsi="FangSong" w:eastAsia="FangSong" w:cs="FangSong"/>
          <w:sz w:val="28"/>
          <w:szCs w:val="28"/>
          <w:spacing w:val="1"/>
        </w:rPr>
        <w:t>生活会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(图2)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，深</w:t>
      </w:r>
    </w:p>
    <w:p>
      <w:pPr>
        <w:sectPr>
          <w:footerReference w:type="default" r:id="rId9"/>
          <w:pgSz w:w="11906" w:h="16839"/>
          <w:pgMar w:top="400" w:right="1209" w:bottom="1168" w:left="111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0"/>
        <w:spacing w:before="91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入开展批评与自</w:t>
      </w:r>
      <w:r>
        <w:rPr>
          <w:rFonts w:ascii="FangSong" w:hAnsi="FangSong" w:eastAsia="FangSong" w:cs="FangSong"/>
          <w:sz w:val="28"/>
          <w:szCs w:val="28"/>
          <w:spacing w:val="-1"/>
        </w:rPr>
        <w:t>我批评。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786"/>
        <w:spacing w:line="3893" w:lineRule="exact"/>
        <w:textAlignment w:val="center"/>
        <w:rPr/>
      </w:pPr>
      <w:r>
        <w:drawing>
          <wp:inline distT="0" distB="0" distL="0" distR="0">
            <wp:extent cx="3765803" cy="247192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5803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76"/>
        <w:spacing w:before="152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4"/>
        </w:rPr>
        <w:t>图</w:t>
      </w:r>
      <w:r>
        <w:rPr>
          <w:rFonts w:ascii="FangSong" w:hAnsi="FangSong" w:eastAsia="FangSong" w:cs="FangSong"/>
          <w:sz w:val="23"/>
          <w:szCs w:val="23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2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-2"/>
        </w:rPr>
        <w:t>组织生活会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589"/>
        <w:spacing w:before="91"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7"/>
        </w:rPr>
        <w:t>(</w:t>
      </w:r>
      <w:r>
        <w:rPr>
          <w:rFonts w:ascii="FangSong" w:hAnsi="FangSong" w:eastAsia="FangSong" w:cs="FangSong"/>
          <w:sz w:val="28"/>
          <w:szCs w:val="28"/>
          <w:spacing w:val="15"/>
        </w:rPr>
        <w:t>3)</w:t>
      </w:r>
      <w:r>
        <w:rPr>
          <w:rFonts w:ascii="FangSong" w:hAnsi="FangSong" w:eastAsia="FangSong" w:cs="FangSong"/>
          <w:sz w:val="28"/>
          <w:szCs w:val="28"/>
          <w:spacing w:val="1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工作亮点</w:t>
      </w:r>
    </w:p>
    <w:p>
      <w:pPr>
        <w:ind w:left="1" w:right="8" w:firstLine="587"/>
        <w:spacing w:before="212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研究生党员们态</w:t>
      </w:r>
      <w:r>
        <w:rPr>
          <w:rFonts w:ascii="FangSong" w:hAnsi="FangSong" w:eastAsia="FangSong" w:cs="FangSong"/>
          <w:sz w:val="28"/>
          <w:szCs w:val="28"/>
          <w:spacing w:val="-4"/>
        </w:rPr>
        <w:t>度</w:t>
      </w:r>
      <w:r>
        <w:rPr>
          <w:rFonts w:ascii="FangSong" w:hAnsi="FangSong" w:eastAsia="FangSong" w:cs="FangSong"/>
          <w:sz w:val="28"/>
          <w:szCs w:val="28"/>
          <w:spacing w:val="-3"/>
        </w:rPr>
        <w:t>端正，学习成绩优秀，能够积极的将理论学习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与实践活动相结合</w:t>
      </w:r>
      <w:r>
        <w:rPr>
          <w:rFonts w:ascii="FangSong" w:hAnsi="FangSong" w:eastAsia="FangSong" w:cs="FangSong"/>
          <w:sz w:val="28"/>
          <w:szCs w:val="28"/>
          <w:spacing w:val="-2"/>
        </w:rPr>
        <w:t>，与专业特点相结合，始终坚持为群众服务，积极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协助本科生进行创新</w:t>
      </w:r>
      <w:r>
        <w:rPr>
          <w:rFonts w:ascii="FangSong" w:hAnsi="FangSong" w:eastAsia="FangSong" w:cs="FangSong"/>
          <w:sz w:val="28"/>
          <w:szCs w:val="28"/>
          <w:spacing w:val="-3"/>
        </w:rPr>
        <w:t>科</w:t>
      </w:r>
      <w:r>
        <w:rPr>
          <w:rFonts w:ascii="FangSong" w:hAnsi="FangSong" w:eastAsia="FangSong" w:cs="FangSong"/>
          <w:sz w:val="28"/>
          <w:szCs w:val="28"/>
          <w:spacing w:val="-2"/>
        </w:rPr>
        <w:t>研实验，定期开展研究生学术报告会、研究生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读书</w:t>
      </w:r>
      <w:r>
        <w:rPr>
          <w:rFonts w:ascii="FangSong" w:hAnsi="FangSong" w:eastAsia="FangSong" w:cs="FangSong"/>
          <w:sz w:val="28"/>
          <w:szCs w:val="28"/>
          <w:spacing w:val="-9"/>
        </w:rPr>
        <w:t>交</w:t>
      </w:r>
      <w:r>
        <w:rPr>
          <w:rFonts w:ascii="FangSong" w:hAnsi="FangSong" w:eastAsia="FangSong" w:cs="FangSong"/>
          <w:sz w:val="28"/>
          <w:szCs w:val="28"/>
          <w:spacing w:val="-6"/>
        </w:rPr>
        <w:t>流会等品牌活动。2022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年度，1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名研究生党员荣获海南师范大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学“优秀毕业研</w:t>
      </w:r>
      <w:r>
        <w:rPr>
          <w:rFonts w:ascii="FangSong" w:hAnsi="FangSong" w:eastAsia="FangSong" w:cs="FangSong"/>
          <w:sz w:val="28"/>
          <w:szCs w:val="28"/>
          <w:spacing w:val="-2"/>
        </w:rPr>
        <w:t>究生”荣誉称号，1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名研究生党员荣获海南师范大学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“优秀研究生干部”</w:t>
      </w:r>
      <w:r>
        <w:rPr>
          <w:rFonts w:ascii="FangSong" w:hAnsi="FangSong" w:eastAsia="FangSong" w:cs="FangSong"/>
          <w:sz w:val="28"/>
          <w:szCs w:val="28"/>
          <w:spacing w:val="-3"/>
        </w:rPr>
        <w:t>荣</w:t>
      </w:r>
      <w:r>
        <w:rPr>
          <w:rFonts w:ascii="FangSong" w:hAnsi="FangSong" w:eastAsia="FangSong" w:cs="FangSong"/>
          <w:sz w:val="28"/>
          <w:szCs w:val="28"/>
          <w:spacing w:val="-2"/>
        </w:rPr>
        <w:t>誉称号。他们在学习和生活中均起到了广泛的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模范带</w:t>
      </w:r>
      <w:r>
        <w:rPr>
          <w:rFonts w:ascii="FangSong" w:hAnsi="FangSong" w:eastAsia="FangSong" w:cs="FangSong"/>
          <w:sz w:val="28"/>
          <w:szCs w:val="28"/>
          <w:spacing w:val="1"/>
        </w:rPr>
        <w:t>头作用。</w:t>
      </w:r>
    </w:p>
    <w:p>
      <w:pPr>
        <w:ind w:left="584"/>
        <w:spacing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2.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校园文化建设</w:t>
      </w:r>
    </w:p>
    <w:p>
      <w:pPr>
        <w:ind w:left="599"/>
        <w:spacing w:before="207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为</w:t>
      </w:r>
      <w:r>
        <w:rPr>
          <w:rFonts w:ascii="FangSong" w:hAnsi="FangSong" w:eastAsia="FangSong" w:cs="FangSong"/>
          <w:sz w:val="28"/>
          <w:szCs w:val="28"/>
          <w:spacing w:val="-5"/>
        </w:rPr>
        <w:t>落</w:t>
      </w:r>
      <w:r>
        <w:rPr>
          <w:rFonts w:ascii="FangSong" w:hAnsi="FangSong" w:eastAsia="FangSong" w:cs="FangSong"/>
          <w:sz w:val="28"/>
          <w:szCs w:val="28"/>
          <w:spacing w:val="-4"/>
        </w:rPr>
        <w:t>实立德树人根本任务、培养德智体美劳全面发展的社会主义</w:t>
      </w:r>
    </w:p>
    <w:p>
      <w:pPr>
        <w:ind w:left="30"/>
        <w:spacing w:before="206" w:line="22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建设者和接班人，学位点开展了以下校园</w:t>
      </w:r>
      <w:r>
        <w:rPr>
          <w:rFonts w:ascii="FangSong" w:hAnsi="FangSong" w:eastAsia="FangSong" w:cs="FangSong"/>
          <w:sz w:val="28"/>
          <w:szCs w:val="28"/>
        </w:rPr>
        <w:t>文化建设：</w:t>
      </w:r>
    </w:p>
    <w:p>
      <w:pPr>
        <w:ind w:left="589"/>
        <w:spacing w:before="208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3"/>
        </w:rPr>
        <w:t>(</w:t>
      </w:r>
      <w:r>
        <w:rPr>
          <w:rFonts w:ascii="FangSong" w:hAnsi="FangSong" w:eastAsia="FangSong" w:cs="FangSong"/>
          <w:sz w:val="28"/>
          <w:szCs w:val="28"/>
          <w:spacing w:val="12"/>
        </w:rPr>
        <w:t>1)</w:t>
      </w:r>
      <w:r>
        <w:rPr>
          <w:rFonts w:ascii="FangSong" w:hAnsi="FangSong" w:eastAsia="FangSong" w:cs="FangSong"/>
          <w:sz w:val="28"/>
          <w:szCs w:val="28"/>
          <w:spacing w:val="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2"/>
        </w:rPr>
        <w:t>新生入学教育</w:t>
      </w:r>
    </w:p>
    <w:p>
      <w:pPr>
        <w:ind w:left="599"/>
        <w:spacing w:before="207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7"/>
        </w:rPr>
        <w:t>为</w:t>
      </w:r>
      <w:r>
        <w:rPr>
          <w:rFonts w:ascii="FangSong" w:hAnsi="FangSong" w:eastAsia="FangSong" w:cs="FangSong"/>
          <w:sz w:val="28"/>
          <w:szCs w:val="28"/>
          <w:spacing w:val="-4"/>
        </w:rPr>
        <w:t>使新生对我校的校情院情、规章制度、培养要求、学术规范等</w:t>
      </w:r>
    </w:p>
    <w:p>
      <w:pPr>
        <w:ind w:left="37" w:right="8" w:hanging="1"/>
        <w:spacing w:before="204" w:line="36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方面有进一步的了解，帮助新生更快地融入新的环境，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年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9-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月份学位点开展</w:t>
      </w:r>
      <w:r>
        <w:rPr>
          <w:rFonts w:ascii="FangSong" w:hAnsi="FangSong" w:eastAsia="FangSong" w:cs="FangSong"/>
          <w:sz w:val="28"/>
          <w:szCs w:val="28"/>
          <w:spacing w:val="-5"/>
        </w:rPr>
        <w:t>了</w:t>
      </w:r>
      <w:r>
        <w:rPr>
          <w:rFonts w:ascii="FangSong" w:hAnsi="FangSong" w:eastAsia="FangSong" w:cs="FangSong"/>
          <w:sz w:val="28"/>
          <w:szCs w:val="28"/>
          <w:spacing w:val="-3"/>
        </w:rPr>
        <w:t>校级和院级两个层次的新生入学教育。校级入学教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育由研究生学院负</w:t>
      </w:r>
      <w:r>
        <w:rPr>
          <w:rFonts w:ascii="FangSong" w:hAnsi="FangSong" w:eastAsia="FangSong" w:cs="FangSong"/>
          <w:sz w:val="28"/>
          <w:szCs w:val="28"/>
          <w:spacing w:val="-3"/>
        </w:rPr>
        <w:t>责组织，研究生新生在超星学习通上学习，主要内</w:t>
      </w:r>
    </w:p>
    <w:p>
      <w:pPr>
        <w:sectPr>
          <w:footerReference w:type="default" r:id="rId14"/>
          <w:pgSz w:w="11906" w:h="16839"/>
          <w:pgMar w:top="400" w:right="1785" w:bottom="1165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3951732</wp:posOffset>
            </wp:positionH>
            <wp:positionV relativeFrom="page">
              <wp:posOffset>7190232</wp:posOffset>
            </wp:positionV>
            <wp:extent cx="2731008" cy="2293620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1008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94" w:right="415" w:firstLine="2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容有：开学</w:t>
      </w:r>
      <w:r>
        <w:rPr>
          <w:rFonts w:ascii="FangSong" w:hAnsi="FangSong" w:eastAsia="FangSong" w:cs="FangSong"/>
          <w:sz w:val="28"/>
          <w:szCs w:val="28"/>
          <w:spacing w:val="-3"/>
        </w:rPr>
        <w:t>第一课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(学校党委书记许玫教授主讲)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；研究生培养流程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及注意事</w:t>
      </w:r>
      <w:r>
        <w:rPr>
          <w:rFonts w:ascii="FangSong" w:hAnsi="FangSong" w:eastAsia="FangSong" w:cs="FangSong"/>
          <w:sz w:val="28"/>
          <w:szCs w:val="28"/>
          <w:spacing w:val="-4"/>
        </w:rPr>
        <w:t>项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(研究生学院行政负责人、副院长王凯华教授主讲)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；理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科研究生</w:t>
      </w:r>
      <w:r>
        <w:rPr>
          <w:rFonts w:ascii="FangSong" w:hAnsi="FangSong" w:eastAsia="FangSong" w:cs="FangSong"/>
          <w:sz w:val="28"/>
          <w:szCs w:val="28"/>
          <w:spacing w:val="-4"/>
        </w:rPr>
        <w:t>治</w:t>
      </w:r>
      <w:r>
        <w:rPr>
          <w:rFonts w:ascii="FangSong" w:hAnsi="FangSong" w:eastAsia="FangSong" w:cs="FangSong"/>
          <w:sz w:val="28"/>
          <w:szCs w:val="28"/>
          <w:spacing w:val="-3"/>
        </w:rPr>
        <w:t>学方法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(理科研究生导师主讲)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；研究生心理健康教育及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在线测评；研究生培养管理规章制度知识</w:t>
      </w:r>
      <w:r>
        <w:rPr>
          <w:rFonts w:ascii="FangSong" w:hAnsi="FangSong" w:eastAsia="FangSong" w:cs="FangSong"/>
          <w:sz w:val="28"/>
          <w:szCs w:val="28"/>
        </w:rPr>
        <w:t>测试。</w:t>
      </w:r>
    </w:p>
    <w:p>
      <w:pPr>
        <w:ind w:left="668"/>
        <w:spacing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院级入学教育由地理</w:t>
      </w:r>
      <w:r>
        <w:rPr>
          <w:rFonts w:ascii="FangSong" w:hAnsi="FangSong" w:eastAsia="FangSong" w:cs="FangSong"/>
          <w:sz w:val="28"/>
          <w:szCs w:val="28"/>
          <w:spacing w:val="-1"/>
        </w:rPr>
        <w:t>学学位点组织，主要开展了以下工作：</w:t>
      </w:r>
    </w:p>
    <w:p>
      <w:pPr>
        <w:ind w:left="644"/>
        <w:spacing w:before="208" w:line="24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a</w:t>
      </w:r>
      <w:r>
        <w:rPr>
          <w:rFonts w:ascii="FangSong" w:hAnsi="FangSong" w:eastAsia="FangSong" w:cs="FangSong"/>
          <w:sz w:val="28"/>
          <w:szCs w:val="28"/>
          <w:spacing w:val="-2"/>
        </w:rPr>
        <w:t>.安全教</w:t>
      </w:r>
      <w:r>
        <w:rPr>
          <w:rFonts w:ascii="FangSong" w:hAnsi="FangSong" w:eastAsia="FangSong" w:cs="FangSong"/>
          <w:sz w:val="28"/>
          <w:szCs w:val="28"/>
          <w:spacing w:val="-1"/>
        </w:rPr>
        <w:t>育</w:t>
      </w:r>
    </w:p>
    <w:p>
      <w:pPr>
        <w:ind w:left="92" w:right="364" w:firstLine="562"/>
        <w:spacing w:before="169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2"/>
        </w:rPr>
        <w:t>对</w:t>
      </w:r>
      <w:r>
        <w:rPr>
          <w:rFonts w:ascii="FangSong" w:hAnsi="FangSong" w:eastAsia="FangSong" w:cs="FangSong"/>
          <w:sz w:val="28"/>
          <w:szCs w:val="28"/>
          <w:spacing w:val="1"/>
        </w:rPr>
        <w:t>新生进行实验室安全教育培训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，告诫他们不准在实验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室吃东西</w:t>
      </w:r>
      <w:r>
        <w:rPr>
          <w:rFonts w:ascii="FangSong" w:hAnsi="FangSong" w:eastAsia="FangSong" w:cs="FangSong"/>
          <w:sz w:val="28"/>
          <w:szCs w:val="28"/>
          <w:spacing w:val="-5"/>
        </w:rPr>
        <w:t>、</w:t>
      </w:r>
      <w:r>
        <w:rPr>
          <w:rFonts w:ascii="FangSong" w:hAnsi="FangSong" w:eastAsia="FangSong" w:cs="FangSong"/>
          <w:sz w:val="28"/>
          <w:szCs w:val="28"/>
          <w:spacing w:val="-3"/>
        </w:rPr>
        <w:t>喝饮料、吸烟或者化妆；嘱咐他们实验时要带手套，穿实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验服，实验</w:t>
      </w:r>
      <w:r>
        <w:rPr>
          <w:rFonts w:ascii="FangSong" w:hAnsi="FangSong" w:eastAsia="FangSong" w:cs="FangSong"/>
          <w:sz w:val="28"/>
          <w:szCs w:val="28"/>
          <w:spacing w:val="-5"/>
        </w:rPr>
        <w:t>完</w:t>
      </w:r>
      <w:r>
        <w:rPr>
          <w:rFonts w:ascii="FangSong" w:hAnsi="FangSong" w:eastAsia="FangSong" w:cs="FangSong"/>
          <w:sz w:val="28"/>
          <w:szCs w:val="28"/>
          <w:spacing w:val="-3"/>
        </w:rPr>
        <w:t>成后要洗手；不准将化学试剂带回家；不要直接去闻或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者尝化学</w:t>
      </w:r>
      <w:r>
        <w:rPr>
          <w:rFonts w:ascii="FangSong" w:hAnsi="FangSong" w:eastAsia="FangSong" w:cs="FangSong"/>
          <w:sz w:val="28"/>
          <w:szCs w:val="28"/>
          <w:spacing w:val="-5"/>
        </w:rPr>
        <w:t>试</w:t>
      </w:r>
      <w:r>
        <w:rPr>
          <w:rFonts w:ascii="FangSong" w:hAnsi="FangSong" w:eastAsia="FangSong" w:cs="FangSong"/>
          <w:sz w:val="28"/>
          <w:szCs w:val="28"/>
          <w:spacing w:val="-3"/>
        </w:rPr>
        <w:t>剂等，让新生了解了我院实验室的规章制度。研究生辅导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员通</w:t>
      </w:r>
      <w:r>
        <w:rPr>
          <w:rFonts w:ascii="FangSong" w:hAnsi="FangSong" w:eastAsia="FangSong" w:cs="FangSong"/>
          <w:sz w:val="28"/>
          <w:szCs w:val="28"/>
          <w:spacing w:val="-5"/>
        </w:rPr>
        <w:t>过</w:t>
      </w:r>
      <w:r>
        <w:rPr>
          <w:rFonts w:ascii="FangSong" w:hAnsi="FangSong" w:eastAsia="FangSong" w:cs="FangSong"/>
          <w:sz w:val="28"/>
          <w:szCs w:val="28"/>
          <w:spacing w:val="-3"/>
        </w:rPr>
        <w:t>对《海南师范大学研究生日常行为规范》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(试行)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解读，对研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究</w:t>
      </w:r>
      <w:r>
        <w:rPr>
          <w:rFonts w:ascii="FangSong" w:hAnsi="FangSong" w:eastAsia="FangSong" w:cs="FangSong"/>
          <w:sz w:val="28"/>
          <w:szCs w:val="28"/>
          <w:spacing w:val="1"/>
        </w:rPr>
        <w:t>生新生进行了安全风险防范教育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。包括宿舍行为规范，强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调学生应按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校安排的宿舍入住，不准留宿宿舍以外的其他人员；宿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舍安全教</w:t>
      </w:r>
      <w:r>
        <w:rPr>
          <w:rFonts w:ascii="FangSong" w:hAnsi="FangSong" w:eastAsia="FangSong" w:cs="FangSong"/>
          <w:sz w:val="28"/>
          <w:szCs w:val="28"/>
          <w:spacing w:val="-5"/>
        </w:rPr>
        <w:t>育</w:t>
      </w:r>
      <w:r>
        <w:rPr>
          <w:rFonts w:ascii="FangSong" w:hAnsi="FangSong" w:eastAsia="FangSong" w:cs="FangSong"/>
          <w:sz w:val="28"/>
          <w:szCs w:val="28"/>
          <w:spacing w:val="-3"/>
        </w:rPr>
        <w:t>，严禁使用电饭煲、“热得快”等违规大功率电器，妥善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保管好自己的贵重物品。还包括增强安全风险防范和自我保护意</w:t>
      </w:r>
      <w:r>
        <w:rPr>
          <w:rFonts w:ascii="FangSong" w:hAnsi="FangSong" w:eastAsia="FangSong" w:cs="FangSong"/>
          <w:sz w:val="28"/>
          <w:szCs w:val="28"/>
        </w:rPr>
        <w:t>识。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强调研究生</w:t>
      </w:r>
      <w:r>
        <w:rPr>
          <w:rFonts w:ascii="FangSong" w:hAnsi="FangSong" w:eastAsia="FangSong" w:cs="FangSong"/>
          <w:sz w:val="28"/>
          <w:szCs w:val="28"/>
          <w:spacing w:val="-5"/>
        </w:rPr>
        <w:t>要</w:t>
      </w:r>
      <w:r>
        <w:rPr>
          <w:rFonts w:ascii="FangSong" w:hAnsi="FangSong" w:eastAsia="FangSong" w:cs="FangSong"/>
          <w:sz w:val="28"/>
          <w:szCs w:val="28"/>
          <w:spacing w:val="-3"/>
        </w:rPr>
        <w:t>提高对传销、诈骗、非法网贷等的鉴别能力；遵守交通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法规，不乘</w:t>
      </w:r>
      <w:r>
        <w:rPr>
          <w:rFonts w:ascii="FangSong" w:hAnsi="FangSong" w:eastAsia="FangSong" w:cs="FangSong"/>
          <w:sz w:val="28"/>
          <w:szCs w:val="28"/>
          <w:spacing w:val="-5"/>
        </w:rPr>
        <w:t>坐</w:t>
      </w:r>
      <w:r>
        <w:rPr>
          <w:rFonts w:ascii="FangSong" w:hAnsi="FangSong" w:eastAsia="FangSong" w:cs="FangSong"/>
          <w:sz w:val="28"/>
          <w:szCs w:val="28"/>
          <w:spacing w:val="-3"/>
        </w:rPr>
        <w:t>非法营运车辆；注意校外调研、实习、参加学术会议等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活动的人身</w:t>
      </w:r>
      <w:r>
        <w:rPr>
          <w:rFonts w:ascii="FangSong" w:hAnsi="FangSong" w:eastAsia="FangSong" w:cs="FangSong"/>
          <w:sz w:val="28"/>
          <w:szCs w:val="28"/>
          <w:spacing w:val="-1"/>
        </w:rPr>
        <w:t>、财产安全意识。</w:t>
      </w:r>
    </w:p>
    <w:p>
      <w:pPr>
        <w:spacing w:before="9" w:line="3633" w:lineRule="exact"/>
        <w:textAlignment w:val="center"/>
        <w:rPr/>
      </w:pPr>
      <w:r>
        <w:drawing>
          <wp:inline distT="0" distB="0" distL="0" distR="0">
            <wp:extent cx="2819400" cy="230733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9400" cy="23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2"/>
        <w:spacing w:before="37" w:line="23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"/>
        </w:rPr>
        <w:t>图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</w:rPr>
        <w:t>实验室安全教育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                        </w:t>
      </w:r>
      <w:r>
        <w:rPr>
          <w:rFonts w:ascii="FangSong" w:hAnsi="FangSong" w:eastAsia="FangSong" w:cs="FangSong"/>
          <w:sz w:val="23"/>
          <w:szCs w:val="23"/>
          <w:spacing w:val="1"/>
        </w:rPr>
        <w:t>图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4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</w:rPr>
        <w:t>安全风</w:t>
      </w:r>
      <w:r>
        <w:rPr>
          <w:rFonts w:ascii="FangSong" w:hAnsi="FangSong" w:eastAsia="FangSong" w:cs="FangSong"/>
          <w:sz w:val="23"/>
          <w:szCs w:val="23"/>
        </w:rPr>
        <w:t>险防范教育</w:t>
      </w:r>
    </w:p>
    <w:p>
      <w:pPr>
        <w:sectPr>
          <w:footerReference w:type="default" r:id="rId16"/>
          <w:pgSz w:w="11906" w:h="16839"/>
          <w:pgMar w:top="400" w:right="1381" w:bottom="1168" w:left="1723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1281683</wp:posOffset>
            </wp:positionH>
            <wp:positionV relativeFrom="page">
              <wp:posOffset>7441692</wp:posOffset>
            </wp:positionV>
            <wp:extent cx="2546604" cy="1911095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6604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76"/>
        <w:spacing w:before="91" w:line="24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</w:rPr>
        <w:t>b</w:t>
      </w:r>
      <w:r>
        <w:rPr>
          <w:rFonts w:ascii="FangSong" w:hAnsi="FangSong" w:eastAsia="FangSong" w:cs="FangSong"/>
          <w:sz w:val="28"/>
          <w:szCs w:val="28"/>
          <w:spacing w:val="-1"/>
        </w:rPr>
        <w:t>.研究生</w:t>
      </w:r>
      <w:r>
        <w:rPr>
          <w:rFonts w:ascii="FangSong" w:hAnsi="FangSong" w:eastAsia="FangSong" w:cs="FangSong"/>
          <w:sz w:val="28"/>
          <w:szCs w:val="28"/>
        </w:rPr>
        <w:t>管理规章制度解读</w:t>
      </w:r>
    </w:p>
    <w:p>
      <w:pPr>
        <w:ind w:left="599"/>
        <w:spacing w:before="177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7"/>
        </w:rPr>
        <w:t>为</w:t>
      </w:r>
      <w:r>
        <w:rPr>
          <w:rFonts w:ascii="FangSong" w:hAnsi="FangSong" w:eastAsia="FangSong" w:cs="FangSong"/>
          <w:sz w:val="28"/>
          <w:szCs w:val="28"/>
          <w:spacing w:val="6"/>
        </w:rPr>
        <w:t>维护学校正常教育教学秩序和生活秩序，规范研究生管理工</w:t>
      </w:r>
    </w:p>
    <w:p>
      <w:pPr>
        <w:ind w:left="25" w:right="11" w:firstLine="9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作，落实研究生</w:t>
      </w:r>
      <w:r>
        <w:rPr>
          <w:rFonts w:ascii="FangSong" w:hAnsi="FangSong" w:eastAsia="FangSong" w:cs="FangSong"/>
          <w:sz w:val="28"/>
          <w:szCs w:val="28"/>
          <w:spacing w:val="-4"/>
        </w:rPr>
        <w:t>管</w:t>
      </w:r>
      <w:r>
        <w:rPr>
          <w:rFonts w:ascii="FangSong" w:hAnsi="FangSong" w:eastAsia="FangSong" w:cs="FangSong"/>
          <w:sz w:val="28"/>
          <w:szCs w:val="28"/>
          <w:spacing w:val="-3"/>
        </w:rPr>
        <w:t>理制度，提高研究生自觉遵守校纪校规、安全防范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意识</w:t>
      </w:r>
      <w:r>
        <w:rPr>
          <w:rFonts w:ascii="FangSong" w:hAnsi="FangSong" w:eastAsia="FangSong" w:cs="FangSong"/>
          <w:sz w:val="28"/>
          <w:szCs w:val="28"/>
          <w:spacing w:val="-14"/>
        </w:rPr>
        <w:t>，</w:t>
      </w:r>
      <w:r>
        <w:rPr>
          <w:rFonts w:ascii="FangSong" w:hAnsi="FangSong" w:eastAsia="FangSong" w:cs="FangSong"/>
          <w:sz w:val="28"/>
          <w:szCs w:val="28"/>
          <w:spacing w:val="-9"/>
        </w:rPr>
        <w:t>学院于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年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月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9"/>
        </w:rPr>
        <w:t>日举行了研究生管理制度教育大会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(图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</w:t>
      </w:r>
      <w:r>
        <w:rPr>
          <w:rFonts w:ascii="FangSong" w:hAnsi="FangSong" w:eastAsia="FangSong" w:cs="FangSong"/>
          <w:sz w:val="28"/>
          <w:szCs w:val="28"/>
          <w:spacing w:val="2"/>
        </w:rPr>
        <w:t>)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。学院</w:t>
      </w:r>
      <w:r>
        <w:rPr>
          <w:rFonts w:ascii="FangSong" w:hAnsi="FangSong" w:eastAsia="FangSong" w:cs="FangSong"/>
          <w:sz w:val="28"/>
          <w:szCs w:val="28"/>
          <w:spacing w:val="1"/>
        </w:rPr>
        <w:t>副院长程叶青、党委副书记郑海妹、研究生辅导员吴丹及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学院在校</w:t>
      </w:r>
      <w:r>
        <w:rPr>
          <w:rFonts w:ascii="FangSong" w:hAnsi="FangSong" w:eastAsia="FangSong" w:cs="FangSong"/>
          <w:sz w:val="28"/>
          <w:szCs w:val="28"/>
          <w:spacing w:val="-4"/>
        </w:rPr>
        <w:t>研</w:t>
      </w:r>
      <w:r>
        <w:rPr>
          <w:rFonts w:ascii="FangSong" w:hAnsi="FangSong" w:eastAsia="FangSong" w:cs="FangSong"/>
          <w:sz w:val="28"/>
          <w:szCs w:val="28"/>
          <w:spacing w:val="-3"/>
        </w:rPr>
        <w:t>究生参加了此次会议。会议传达了和解读了我校及我院研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究生管理</w:t>
      </w:r>
      <w:r>
        <w:rPr>
          <w:rFonts w:ascii="FangSong" w:hAnsi="FangSong" w:eastAsia="FangSong" w:cs="FangSong"/>
          <w:sz w:val="28"/>
          <w:szCs w:val="28"/>
          <w:spacing w:val="-4"/>
        </w:rPr>
        <w:t>相</w:t>
      </w:r>
      <w:r>
        <w:rPr>
          <w:rFonts w:ascii="FangSong" w:hAnsi="FangSong" w:eastAsia="FangSong" w:cs="FangSong"/>
          <w:sz w:val="28"/>
          <w:szCs w:val="28"/>
          <w:spacing w:val="-3"/>
        </w:rPr>
        <w:t>关制度规定，帮助研究生新生熟悉学校及学院研究生教育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管理各项</w:t>
      </w:r>
      <w:r>
        <w:rPr>
          <w:rFonts w:ascii="FangSong" w:hAnsi="FangSong" w:eastAsia="FangSong" w:cs="FangSong"/>
          <w:sz w:val="28"/>
          <w:szCs w:val="28"/>
          <w:spacing w:val="-4"/>
        </w:rPr>
        <w:t>规</w:t>
      </w:r>
      <w:r>
        <w:rPr>
          <w:rFonts w:ascii="FangSong" w:hAnsi="FangSong" w:eastAsia="FangSong" w:cs="FangSong"/>
          <w:sz w:val="28"/>
          <w:szCs w:val="28"/>
          <w:spacing w:val="-3"/>
        </w:rPr>
        <w:t>章制度及行为规范，强化了研究生遵守校纪校规、主动自</w:t>
      </w:r>
    </w:p>
    <w:p>
      <w:pPr>
        <w:ind w:left="40"/>
        <w:spacing w:before="1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我</w:t>
      </w:r>
      <w:r>
        <w:rPr>
          <w:rFonts w:ascii="FangSong" w:hAnsi="FangSong" w:eastAsia="FangSong" w:cs="FangSong"/>
          <w:sz w:val="28"/>
          <w:szCs w:val="28"/>
          <w:spacing w:val="-4"/>
        </w:rPr>
        <w:t>提升的意识。</w:t>
      </w:r>
    </w:p>
    <w:p>
      <w:pPr>
        <w:ind w:firstLine="1715"/>
        <w:spacing w:before="167" w:line="3780" w:lineRule="exact"/>
        <w:textAlignment w:val="center"/>
        <w:rPr/>
      </w:pPr>
      <w:r>
        <w:drawing>
          <wp:inline distT="0" distB="0" distL="0" distR="0">
            <wp:extent cx="3208019" cy="240029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8019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11"/>
        <w:spacing w:before="200" w:line="318" w:lineRule="exact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4"/>
          <w:position w:val="5"/>
        </w:rPr>
        <w:t>图</w:t>
      </w:r>
      <w:r>
        <w:rPr>
          <w:rFonts w:ascii="FangSong" w:hAnsi="FangSong" w:eastAsia="FangSong" w:cs="FangSong"/>
          <w:sz w:val="23"/>
          <w:szCs w:val="23"/>
          <w:spacing w:val="3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3"/>
          <w:position w:val="5"/>
        </w:rPr>
        <w:t>5</w:t>
      </w:r>
      <w:r>
        <w:rPr>
          <w:rFonts w:ascii="Times New Roman" w:hAnsi="Times New Roman" w:eastAsia="Times New Roman" w:cs="Times New Roman"/>
          <w:sz w:val="23"/>
          <w:szCs w:val="23"/>
          <w:spacing w:val="3"/>
          <w:position w:val="5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3"/>
          <w:position w:val="5"/>
        </w:rPr>
        <w:t>学院开展研究生管理制度教育</w:t>
      </w:r>
    </w:p>
    <w:p>
      <w:pPr>
        <w:ind w:left="586"/>
        <w:spacing w:before="1" w:line="24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c</w:t>
      </w:r>
      <w:r>
        <w:rPr>
          <w:rFonts w:ascii="FangSong" w:hAnsi="FangSong" w:eastAsia="FangSong" w:cs="FangSong"/>
          <w:sz w:val="28"/>
          <w:szCs w:val="28"/>
          <w:spacing w:val="-2"/>
        </w:rPr>
        <w:t>.专业情怀</w:t>
      </w:r>
      <w:r>
        <w:rPr>
          <w:rFonts w:ascii="FangSong" w:hAnsi="FangSong" w:eastAsia="FangSong" w:cs="FangSong"/>
          <w:sz w:val="28"/>
          <w:szCs w:val="28"/>
          <w:spacing w:val="-1"/>
        </w:rPr>
        <w:t>教育</w:t>
      </w:r>
    </w:p>
    <w:p>
      <w:pPr>
        <w:ind w:left="520"/>
        <w:spacing w:before="178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为了</w:t>
      </w:r>
      <w:r>
        <w:rPr>
          <w:rFonts w:ascii="FangSong" w:hAnsi="FangSong" w:eastAsia="FangSong" w:cs="FangSong"/>
          <w:sz w:val="28"/>
          <w:szCs w:val="28"/>
          <w:spacing w:val="-4"/>
        </w:rPr>
        <w:t>让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级新生更快的适应新的环境、新的团队，研究生导</w:t>
      </w:r>
    </w:p>
    <w:p>
      <w:pPr>
        <w:ind w:firstLine="4389"/>
        <w:spacing w:before="168" w:line="3115" w:lineRule="exact"/>
        <w:textAlignment w:val="center"/>
        <w:rPr/>
      </w:pPr>
      <w:r>
        <w:drawing>
          <wp:inline distT="0" distB="0" distL="0" distR="0">
            <wp:extent cx="2446020" cy="1978152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6020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"/>
        <w:spacing w:before="230" w:line="228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8"/>
        </w:rPr>
        <w:t>图</w:t>
      </w:r>
      <w:r>
        <w:rPr>
          <w:rFonts w:ascii="FangSong" w:hAnsi="FangSong" w:eastAsia="FangSong" w:cs="FangSong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6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导师程叶青教授与研究生新生见面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   </w:t>
      </w:r>
      <w:r>
        <w:rPr>
          <w:rFonts w:ascii="FangSong" w:hAnsi="FangSong" w:eastAsia="FangSong" w:cs="FangSong"/>
          <w:sz w:val="23"/>
          <w:szCs w:val="23"/>
          <w:spacing w:val="4"/>
        </w:rPr>
        <w:t>图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7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4"/>
        </w:rPr>
        <w:t>导师邱彭华教授与新生交流</w:t>
      </w:r>
    </w:p>
    <w:p>
      <w:pPr>
        <w:sectPr>
          <w:footerReference w:type="default" r:id="rId19"/>
          <w:pgSz w:w="11906" w:h="16839"/>
          <w:pgMar w:top="400" w:right="1785" w:bottom="1168" w:left="1785" w:header="0" w:footer="1008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04"/>
        <w:spacing w:before="91" w:line="221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师以不</w:t>
      </w:r>
      <w:r>
        <w:rPr>
          <w:rFonts w:ascii="FangSong" w:hAnsi="FangSong" w:eastAsia="FangSong" w:cs="FangSong"/>
          <w:sz w:val="28"/>
          <w:szCs w:val="28"/>
          <w:spacing w:val="-6"/>
        </w:rPr>
        <w:t>同</w:t>
      </w:r>
      <w:r>
        <w:rPr>
          <w:rFonts w:ascii="FangSong" w:hAnsi="FangSong" w:eastAsia="FangSong" w:cs="FangSong"/>
          <w:sz w:val="28"/>
          <w:szCs w:val="28"/>
          <w:spacing w:val="-4"/>
        </w:rPr>
        <w:t>的方式组织了新老生的专业学习和科研工作交流(图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6</w:t>
      </w:r>
      <w:r>
        <w:rPr>
          <w:rFonts w:ascii="FangSong" w:hAnsi="FangSong" w:eastAsia="FangSong" w:cs="FangSong"/>
          <w:sz w:val="28"/>
          <w:szCs w:val="28"/>
          <w:spacing w:val="-4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7</w:t>
      </w:r>
      <w:r>
        <w:rPr>
          <w:rFonts w:ascii="FangSong" w:hAnsi="FangSong" w:eastAsia="FangSong" w:cs="FangSong"/>
          <w:sz w:val="28"/>
          <w:szCs w:val="28"/>
          <w:spacing w:val="-4"/>
        </w:rPr>
        <w:t>)。</w:t>
      </w:r>
    </w:p>
    <w:p>
      <w:pPr>
        <w:ind w:left="641"/>
        <w:spacing w:before="157" w:line="24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d</w:t>
      </w:r>
      <w:r>
        <w:rPr>
          <w:rFonts w:ascii="FangSong" w:hAnsi="FangSong" w:eastAsia="FangSong" w:cs="FangSong"/>
          <w:sz w:val="28"/>
          <w:szCs w:val="28"/>
          <w:spacing w:val="-4"/>
        </w:rPr>
        <w:t>.</w:t>
      </w:r>
      <w:r>
        <w:rPr>
          <w:rFonts w:ascii="FangSong" w:hAnsi="FangSong" w:eastAsia="FangSong" w:cs="FangSong"/>
          <w:sz w:val="28"/>
          <w:szCs w:val="28"/>
          <w:spacing w:val="-2"/>
        </w:rPr>
        <w:t>主题班会</w:t>
      </w:r>
    </w:p>
    <w:p>
      <w:pPr>
        <w:ind w:left="86" w:right="559" w:firstLine="558"/>
        <w:spacing w:before="175" w:line="36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入校两周</w:t>
      </w:r>
      <w:r>
        <w:rPr>
          <w:rFonts w:ascii="FangSong" w:hAnsi="FangSong" w:eastAsia="FangSong" w:cs="FangSong"/>
          <w:sz w:val="28"/>
          <w:szCs w:val="28"/>
          <w:spacing w:val="-5"/>
        </w:rPr>
        <w:t>后</w:t>
      </w:r>
      <w:r>
        <w:rPr>
          <w:rFonts w:ascii="FangSong" w:hAnsi="FangSong" w:eastAsia="FangSong" w:cs="FangSong"/>
          <w:sz w:val="28"/>
          <w:szCs w:val="28"/>
          <w:spacing w:val="-3"/>
        </w:rPr>
        <w:t>，研究生新生彼此都有些了解，组织了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2022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级新生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班干部竞选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(图8)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，确定班委人选。通过召开班干部竞选班会，</w:t>
      </w:r>
      <w:r>
        <w:rPr>
          <w:rFonts w:ascii="FangSong" w:hAnsi="FangSong" w:eastAsia="FangSong" w:cs="FangSong"/>
          <w:sz w:val="28"/>
          <w:szCs w:val="28"/>
        </w:rPr>
        <w:t>使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同学们积极参与班级事务，更好的适应新</w:t>
      </w:r>
      <w:r>
        <w:rPr>
          <w:rFonts w:ascii="FangSong" w:hAnsi="FangSong" w:eastAsia="FangSong" w:cs="FangSong"/>
          <w:sz w:val="28"/>
          <w:szCs w:val="28"/>
        </w:rPr>
        <w:t>环境。</w:t>
      </w:r>
    </w:p>
    <w:p>
      <w:pPr>
        <w:ind w:firstLine="1857"/>
        <w:spacing w:before="90" w:line="3314" w:lineRule="exact"/>
        <w:textAlignment w:val="center"/>
        <w:rPr/>
      </w:pPr>
      <w:r>
        <w:drawing>
          <wp:inline distT="0" distB="0" distL="0" distR="0">
            <wp:extent cx="3308603" cy="210464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603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3706"/>
        <w:spacing w:before="75" w:line="23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2"/>
        </w:rPr>
        <w:t>图</w:t>
      </w:r>
      <w:r>
        <w:rPr>
          <w:rFonts w:ascii="FangSong" w:hAnsi="FangSong" w:eastAsia="FangSong" w:cs="FangSong"/>
          <w:sz w:val="23"/>
          <w:szCs w:val="23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>8</w:t>
      </w:r>
      <w:r>
        <w:rPr>
          <w:rFonts w:ascii="Times New Roman" w:hAnsi="Times New Roman" w:eastAsia="Times New Roman" w:cs="Times New Roman"/>
          <w:sz w:val="23"/>
          <w:szCs w:val="23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"/>
        </w:rPr>
        <w:t>新生班委竞选</w:t>
      </w:r>
    </w:p>
    <w:p>
      <w:pPr>
        <w:ind w:left="642"/>
        <w:spacing w:before="184" w:line="24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e</w:t>
      </w:r>
      <w:r>
        <w:rPr>
          <w:rFonts w:ascii="FangSong" w:hAnsi="FangSong" w:eastAsia="FangSong" w:cs="FangSong"/>
          <w:sz w:val="28"/>
          <w:szCs w:val="28"/>
          <w:spacing w:val="-2"/>
        </w:rPr>
        <w:t>.新生素</w:t>
      </w:r>
      <w:r>
        <w:rPr>
          <w:rFonts w:ascii="FangSong" w:hAnsi="FangSong" w:eastAsia="FangSong" w:cs="FangSong"/>
          <w:sz w:val="28"/>
          <w:szCs w:val="28"/>
          <w:spacing w:val="-1"/>
        </w:rPr>
        <w:t>质拓展活动</w:t>
      </w:r>
    </w:p>
    <w:p>
      <w:pPr>
        <w:ind w:left="84" w:right="559" w:firstLine="481"/>
        <w:spacing w:before="178" w:line="36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部分导师根据研究生培养目标及项目研究需要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(图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，让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研二、研三同学带着新生开展了调研活动</w:t>
      </w:r>
      <w:r>
        <w:rPr>
          <w:rFonts w:ascii="FangSong" w:hAnsi="FangSong" w:eastAsia="FangSong" w:cs="FangSong"/>
          <w:sz w:val="28"/>
          <w:szCs w:val="28"/>
        </w:rPr>
        <w:t>。</w:t>
      </w:r>
    </w:p>
    <w:p>
      <w:pPr>
        <w:spacing w:line="82" w:lineRule="exact"/>
        <w:rPr/>
      </w:pPr>
      <w:r/>
    </w:p>
    <w:p>
      <w:pPr>
        <w:sectPr>
          <w:footerReference w:type="default" r:id="rId23"/>
          <w:pgSz w:w="11906" w:h="16839"/>
          <w:pgMar w:top="400" w:right="1237" w:bottom="1168" w:left="1730" w:header="0" w:footer="1008" w:gutter="0"/>
          <w:cols w:equalWidth="0" w:num="1">
            <w:col w:w="8938" w:space="0"/>
          </w:cols>
        </w:sectPr>
        <w:rPr/>
      </w:pPr>
    </w:p>
    <w:p>
      <w:pPr>
        <w:spacing w:before="14" w:line="3552" w:lineRule="exact"/>
        <w:textAlignment w:val="center"/>
        <w:rPr/>
      </w:pPr>
      <w:r>
        <w:drawing>
          <wp:inline distT="0" distB="0" distL="0" distR="0">
            <wp:extent cx="2810255" cy="2255520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025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86"/>
        <w:spacing w:before="40" w:line="197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图</w:t>
      </w:r>
      <w:r>
        <w:rPr>
          <w:rFonts w:ascii="FangSong" w:hAnsi="FangSong" w:eastAsia="FangSong" w:cs="FangSong"/>
          <w:sz w:val="23"/>
          <w:szCs w:val="23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9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2"/>
        </w:rPr>
        <w:t>新生孔熙平</w:t>
      </w:r>
      <w:r>
        <w:rPr>
          <w:rFonts w:ascii="FangSong" w:hAnsi="FangSong" w:eastAsia="FangSong" w:cs="FangSong"/>
          <w:sz w:val="23"/>
          <w:szCs w:val="23"/>
          <w:spacing w:val="1"/>
        </w:rPr>
        <w:t>在琼中调研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67" w:lineRule="exact"/>
        <w:textAlignment w:val="center"/>
        <w:rPr/>
      </w:pPr>
      <w:r>
        <w:drawing>
          <wp:inline distT="0" distB="0" distL="0" distR="0">
            <wp:extent cx="2804160" cy="226531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4160" cy="22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4"/>
        <w:spacing w:before="37" w:line="197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4"/>
        </w:rPr>
        <w:t>图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0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2"/>
        </w:rPr>
        <w:t>新生刘益珠在五指山调研</w:t>
      </w:r>
    </w:p>
    <w:p>
      <w:pPr>
        <w:sectPr>
          <w:type w:val="continuous"/>
          <w:pgSz w:w="11906" w:h="16839"/>
          <w:pgMar w:top="400" w:right="1237" w:bottom="1168" w:left="1730" w:header="0" w:footer="1008" w:gutter="0"/>
          <w:cols w:equalWidth="0" w:num="2">
            <w:col w:w="4426" w:space="96"/>
            <w:col w:w="4417" w:space="0"/>
          </w:cols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ind w:left="645"/>
        <w:spacing w:before="9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7"/>
        </w:rPr>
        <w:t>(</w:t>
      </w:r>
      <w:r>
        <w:rPr>
          <w:rFonts w:ascii="FangSong" w:hAnsi="FangSong" w:eastAsia="FangSong" w:cs="FangSong"/>
          <w:sz w:val="28"/>
          <w:szCs w:val="28"/>
          <w:spacing w:val="15"/>
        </w:rPr>
        <w:t>2)</w:t>
      </w:r>
      <w:r>
        <w:rPr>
          <w:rFonts w:ascii="FangSong" w:hAnsi="FangSong" w:eastAsia="FangSong" w:cs="FangSong"/>
          <w:sz w:val="28"/>
          <w:szCs w:val="28"/>
          <w:spacing w:val="1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校园竞赛</w:t>
      </w:r>
    </w:p>
    <w:p>
      <w:pPr>
        <w:ind w:left="647"/>
        <w:spacing w:before="157" w:line="378" w:lineRule="exact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6"/>
          <w:position w:val="1"/>
        </w:rPr>
        <w:t>积极组织</w:t>
      </w:r>
      <w:r>
        <w:rPr>
          <w:rFonts w:ascii="FangSong" w:hAnsi="FangSong" w:eastAsia="FangSong" w:cs="FangSong"/>
          <w:sz w:val="28"/>
          <w:szCs w:val="28"/>
          <w:spacing w:val="6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6"/>
          <w:position w:val="1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3"/>
          <w:position w:val="1"/>
        </w:rPr>
        <w:t>名研究生参加第八届中国国际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1"/>
        </w:rPr>
        <w:t>“</w:t>
      </w:r>
      <w:r>
        <w:rPr>
          <w:rFonts w:ascii="FangSong" w:hAnsi="FangSong" w:eastAsia="FangSong" w:cs="FangSong"/>
          <w:sz w:val="28"/>
          <w:szCs w:val="28"/>
          <w:spacing w:val="3"/>
          <w:position w:val="1"/>
        </w:rPr>
        <w:t>互联网</w:t>
      </w:r>
      <w:r>
        <w:rPr>
          <w:rFonts w:ascii="Times New Roman" w:hAnsi="Times New Roman" w:eastAsia="Times New Roman" w:cs="Times New Roman"/>
          <w:sz w:val="28"/>
          <w:szCs w:val="28"/>
          <w:spacing w:val="3"/>
          <w:position w:val="1"/>
        </w:rPr>
        <w:t>+”</w:t>
      </w:r>
      <w:r>
        <w:rPr>
          <w:rFonts w:ascii="FangSong" w:hAnsi="FangSong" w:eastAsia="FangSong" w:cs="FangSong"/>
          <w:sz w:val="28"/>
          <w:szCs w:val="28"/>
          <w:spacing w:val="3"/>
          <w:position w:val="1"/>
        </w:rPr>
        <w:t>大学生创</w:t>
      </w:r>
    </w:p>
    <w:p>
      <w:pPr>
        <w:sectPr>
          <w:type w:val="continuous"/>
          <w:pgSz w:w="11906" w:h="16839"/>
          <w:pgMar w:top="400" w:right="1237" w:bottom="1168" w:left="1730" w:header="0" w:footer="1008" w:gutter="0"/>
          <w:cols w:equalWidth="0" w:num="1">
            <w:col w:w="8938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77" w:right="633" w:hanging="1"/>
        <w:spacing w:before="91" w:line="365" w:lineRule="auto"/>
        <w:rPr>
          <w:rFonts w:ascii="FangSong" w:hAnsi="FangSong" w:eastAsia="FangSong" w:cs="FangSong"/>
          <w:sz w:val="28"/>
          <w:szCs w:val="28"/>
        </w:rPr>
      </w:pPr>
      <w:bookmarkStart w:name="_bookmark10" w:id="7"/>
      <w:bookmarkEnd w:id="7"/>
      <w:bookmarkStart w:name="_bookmark9" w:id="8"/>
      <w:bookmarkEnd w:id="8"/>
      <w:r>
        <w:rPr>
          <w:rFonts w:ascii="FangSong" w:hAnsi="FangSong" w:eastAsia="FangSong" w:cs="FangSong"/>
          <w:sz w:val="28"/>
          <w:szCs w:val="28"/>
          <w:spacing w:val="-1"/>
        </w:rPr>
        <w:t>新创业大赛校级赛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(图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11</w:t>
      </w:r>
      <w:r>
        <w:rPr>
          <w:rFonts w:ascii="FangSong" w:hAnsi="FangSong" w:eastAsia="FangSong" w:cs="FangSong"/>
          <w:sz w:val="28"/>
          <w:szCs w:val="28"/>
          <w:spacing w:val="-1"/>
        </w:rPr>
        <w:t>)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，其中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个研究生团队获铜奖。此外</w:t>
      </w:r>
      <w:r>
        <w:rPr>
          <w:rFonts w:ascii="FangSong" w:hAnsi="FangSong" w:eastAsia="FangSong" w:cs="FangSong"/>
          <w:sz w:val="28"/>
          <w:szCs w:val="28"/>
        </w:rPr>
        <w:t>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组织研究生</w:t>
      </w:r>
      <w:r>
        <w:rPr>
          <w:rFonts w:ascii="FangSong" w:hAnsi="FangSong" w:eastAsia="FangSong" w:cs="FangSong"/>
          <w:sz w:val="28"/>
          <w:szCs w:val="28"/>
          <w:spacing w:val="-4"/>
        </w:rPr>
        <w:t>参</w:t>
      </w:r>
      <w:r>
        <w:rPr>
          <w:rFonts w:ascii="FangSong" w:hAnsi="FangSong" w:eastAsia="FangSong" w:cs="FangSong"/>
          <w:sz w:val="28"/>
          <w:szCs w:val="28"/>
          <w:spacing w:val="-3"/>
        </w:rPr>
        <w:t>加了运动会、网络竞赛等形式多样的文化、体育、科技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活</w:t>
      </w:r>
      <w:r>
        <w:rPr>
          <w:rFonts w:ascii="FangSong" w:hAnsi="FangSong" w:eastAsia="FangSong" w:cs="FangSong"/>
          <w:sz w:val="28"/>
          <w:szCs w:val="28"/>
          <w:spacing w:val="-8"/>
        </w:rPr>
        <w:t>动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(图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12</w:t>
      </w:r>
      <w:r>
        <w:rPr>
          <w:rFonts w:ascii="FangSong" w:hAnsi="FangSong" w:eastAsia="FangSong" w:cs="FangSong"/>
          <w:sz w:val="28"/>
          <w:szCs w:val="28"/>
          <w:spacing w:val="-8"/>
        </w:rPr>
        <w:t>)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。</w:t>
      </w:r>
    </w:p>
    <w:p>
      <w:pPr>
        <w:ind w:firstLine="1005"/>
        <w:spacing w:before="24" w:line="4121" w:lineRule="exact"/>
        <w:textAlignment w:val="center"/>
        <w:rPr/>
      </w:pPr>
      <w:r>
        <w:drawing>
          <wp:inline distT="0" distB="0" distL="0" distR="0">
            <wp:extent cx="4468367" cy="2616708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8367" cy="261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18"/>
        <w:spacing w:before="106" w:line="323" w:lineRule="exact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8"/>
          <w:position w:val="1"/>
        </w:rPr>
        <w:t>图</w:t>
      </w:r>
      <w:r>
        <w:rPr>
          <w:rFonts w:ascii="FangSong" w:hAnsi="FangSong" w:eastAsia="FangSong" w:cs="FangSong"/>
          <w:sz w:val="23"/>
          <w:szCs w:val="23"/>
          <w:spacing w:val="8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8"/>
          <w:position w:val="1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5"/>
          <w:position w:val="1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4"/>
          <w:position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4"/>
          <w:position w:val="1"/>
        </w:rPr>
        <w:t>第八届中国国际</w:t>
      </w:r>
      <w:r>
        <w:rPr>
          <w:rFonts w:ascii="Times New Roman" w:hAnsi="Times New Roman" w:eastAsia="Times New Roman" w:cs="Times New Roman"/>
          <w:sz w:val="23"/>
          <w:szCs w:val="23"/>
          <w:spacing w:val="4"/>
          <w:position w:val="1"/>
        </w:rPr>
        <w:t>“</w:t>
      </w:r>
      <w:r>
        <w:rPr>
          <w:rFonts w:ascii="FangSong" w:hAnsi="FangSong" w:eastAsia="FangSong" w:cs="FangSong"/>
          <w:sz w:val="23"/>
          <w:szCs w:val="23"/>
          <w:spacing w:val="4"/>
          <w:position w:val="1"/>
        </w:rPr>
        <w:t>互联网</w:t>
      </w:r>
      <w:r>
        <w:rPr>
          <w:rFonts w:ascii="Times New Roman" w:hAnsi="Times New Roman" w:eastAsia="Times New Roman" w:cs="Times New Roman"/>
          <w:sz w:val="23"/>
          <w:szCs w:val="23"/>
          <w:spacing w:val="4"/>
          <w:position w:val="1"/>
        </w:rPr>
        <w:t>+”</w:t>
      </w:r>
      <w:r>
        <w:rPr>
          <w:rFonts w:ascii="FangSong" w:hAnsi="FangSong" w:eastAsia="FangSong" w:cs="FangSong"/>
          <w:sz w:val="23"/>
          <w:szCs w:val="23"/>
          <w:spacing w:val="4"/>
          <w:position w:val="1"/>
        </w:rPr>
        <w:t>大学生创新创业大赛</w:t>
      </w:r>
    </w:p>
    <w:p>
      <w:pPr>
        <w:spacing w:before="163" w:line="3398" w:lineRule="exact"/>
        <w:textAlignment w:val="center"/>
        <w:rPr/>
      </w:pPr>
      <w:r>
        <w:drawing>
          <wp:inline distT="0" distB="0" distL="0" distR="0">
            <wp:extent cx="5846064" cy="215798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064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3164"/>
        <w:spacing w:before="75" w:line="510" w:lineRule="exact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"/>
          <w:position w:val="20"/>
        </w:rPr>
        <w:t>图</w:t>
      </w:r>
      <w:r>
        <w:rPr>
          <w:rFonts w:ascii="FangSong" w:hAnsi="FangSong" w:eastAsia="FangSong" w:cs="FangSong"/>
          <w:sz w:val="23"/>
          <w:szCs w:val="23"/>
          <w:spacing w:val="1"/>
          <w:position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  <w:position w:val="20"/>
        </w:rPr>
        <w:t>12</w:t>
      </w:r>
      <w:r>
        <w:rPr>
          <w:rFonts w:ascii="Times New Roman" w:hAnsi="Times New Roman" w:eastAsia="Times New Roman" w:cs="Times New Roman"/>
          <w:sz w:val="23"/>
          <w:szCs w:val="23"/>
          <w:spacing w:val="1"/>
          <w:position w:val="20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  <w:position w:val="20"/>
        </w:rPr>
        <w:t>防灾减灾</w:t>
      </w:r>
      <w:r>
        <w:rPr>
          <w:rFonts w:ascii="FangSong" w:hAnsi="FangSong" w:eastAsia="FangSong" w:cs="FangSong"/>
          <w:sz w:val="23"/>
          <w:szCs w:val="23"/>
          <w:position w:val="20"/>
        </w:rPr>
        <w:t>专题竞赛</w:t>
      </w:r>
    </w:p>
    <w:p>
      <w:pPr>
        <w:ind w:left="837"/>
        <w:spacing w:before="1" w:line="223" w:lineRule="auto"/>
        <w:rPr>
          <w:rFonts w:ascii="SimSun" w:hAnsi="SimSun" w:eastAsia="SimSun" w:cs="SimSun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5"/>
        </w:rPr>
        <w:t>(</w:t>
      </w:r>
      <w:r>
        <w:rPr>
          <w:rFonts w:ascii="FangSong" w:hAnsi="FangSong" w:eastAsia="FangSong" w:cs="FangSong"/>
          <w:sz w:val="28"/>
          <w:szCs w:val="28"/>
          <w:spacing w:val="9"/>
        </w:rPr>
        <w:t>3)</w:t>
      </w:r>
      <w:r>
        <w:rPr>
          <w:rFonts w:ascii="FangSong" w:hAnsi="FangSong" w:eastAsia="FangSong" w:cs="FangSong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9"/>
        </w:rPr>
        <w:t>研究生创新文化培养</w:t>
      </w:r>
    </w:p>
    <w:p>
      <w:pPr>
        <w:ind w:left="281" w:right="633" w:firstLine="555"/>
        <w:spacing w:before="207" w:line="36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支持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名研究生参加了“新青年全球胜任力人才培养项目”该项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目是中国教育国际交流协会面向国内高校学生设立的新时代青年</w:t>
      </w:r>
      <w:r>
        <w:rPr>
          <w:rFonts w:ascii="FangSong" w:hAnsi="FangSong" w:eastAsia="FangSong" w:cs="FangSong"/>
          <w:sz w:val="28"/>
          <w:szCs w:val="28"/>
          <w:spacing w:val="1"/>
        </w:rPr>
        <w:t>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合素质与能力培</w:t>
      </w:r>
      <w:r>
        <w:rPr>
          <w:rFonts w:ascii="FangSong" w:hAnsi="FangSong" w:eastAsia="FangSong" w:cs="FangSong"/>
          <w:sz w:val="28"/>
          <w:szCs w:val="28"/>
          <w:spacing w:val="-3"/>
        </w:rPr>
        <w:t>养项目，以国家新时代人才发展战略为指导，着眼国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家未来发展人才</w:t>
      </w:r>
      <w:r>
        <w:rPr>
          <w:rFonts w:ascii="FangSong" w:hAnsi="FangSong" w:eastAsia="FangSong" w:cs="FangSong"/>
          <w:sz w:val="28"/>
          <w:szCs w:val="28"/>
          <w:spacing w:val="-3"/>
        </w:rPr>
        <w:t>需求，力求通过与高校合作开展的“第二课堂”，探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索加快具有国际</w:t>
      </w:r>
      <w:r>
        <w:rPr>
          <w:rFonts w:ascii="FangSong" w:hAnsi="FangSong" w:eastAsia="FangSong" w:cs="FangSong"/>
          <w:sz w:val="28"/>
          <w:szCs w:val="28"/>
          <w:spacing w:val="-3"/>
        </w:rPr>
        <w:t>竞争力的高层次国际化人才培养的新模式。该项目课</w:t>
      </w:r>
    </w:p>
    <w:p>
      <w:pPr>
        <w:sectPr>
          <w:footerReference w:type="default" r:id="rId27"/>
          <w:pgSz w:w="11906" w:h="16839"/>
          <w:pgMar w:top="400" w:right="1161" w:bottom="1168" w:left="1538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3" w:right="69" w:hanging="1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1"/>
        </w:rPr>
        <w:t>程采取在线教学的形式。学习时间为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2022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年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10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月-2023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年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10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月</w:t>
      </w:r>
      <w:r>
        <w:rPr>
          <w:rFonts w:ascii="FangSong" w:hAnsi="FangSong" w:eastAsia="FangSong" w:cs="FangSong"/>
          <w:sz w:val="28"/>
          <w:szCs w:val="28"/>
          <w:spacing w:val="-9"/>
        </w:rPr>
        <w:t>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安排</w:t>
      </w:r>
      <w:r>
        <w:rPr>
          <w:rFonts w:ascii="FangSong" w:hAnsi="FangSong" w:eastAsia="FangSong" w:cs="FangSong"/>
          <w:sz w:val="28"/>
          <w:szCs w:val="28"/>
          <w:spacing w:val="-3"/>
        </w:rPr>
        <w:t>在</w:t>
      </w:r>
      <w:r>
        <w:rPr>
          <w:rFonts w:ascii="FangSong" w:hAnsi="FangSong" w:eastAsia="FangSong" w:cs="FangSong"/>
          <w:sz w:val="28"/>
          <w:szCs w:val="28"/>
          <w:spacing w:val="-2"/>
        </w:rPr>
        <w:t>周末上课。</w:t>
      </w:r>
    </w:p>
    <w:p>
      <w:pPr>
        <w:ind w:left="30" w:right="8" w:firstLine="559"/>
        <w:spacing w:before="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5"/>
        </w:rPr>
        <w:t>支</w:t>
      </w:r>
      <w:r>
        <w:rPr>
          <w:rFonts w:ascii="FangSong" w:hAnsi="FangSong" w:eastAsia="FangSong" w:cs="FangSong"/>
          <w:sz w:val="28"/>
          <w:szCs w:val="28"/>
          <w:spacing w:val="-8"/>
        </w:rPr>
        <w:t>持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8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名研究生参加了学校与英国西苏格兰大学合作开设的“零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碳审计基础项目研究生课程”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13)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。通过学习该课程，研究</w:t>
      </w:r>
      <w:r>
        <w:rPr>
          <w:rFonts w:ascii="FangSong" w:hAnsi="FangSong" w:eastAsia="FangSong" w:cs="FangSong"/>
          <w:sz w:val="28"/>
          <w:szCs w:val="28"/>
        </w:rPr>
        <w:t>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们了解了碳</w:t>
      </w:r>
      <w:r>
        <w:rPr>
          <w:rFonts w:ascii="FangSong" w:hAnsi="FangSong" w:eastAsia="FangSong" w:cs="FangSong"/>
          <w:sz w:val="28"/>
          <w:szCs w:val="28"/>
          <w:spacing w:val="-3"/>
        </w:rPr>
        <w:t>中和领域的发展现状，系统学习了新能源、碳减排、温室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气体、碳汇</w:t>
      </w:r>
      <w:r>
        <w:rPr>
          <w:rFonts w:ascii="FangSong" w:hAnsi="FangSong" w:eastAsia="FangSong" w:cs="FangSong"/>
          <w:sz w:val="28"/>
          <w:szCs w:val="28"/>
          <w:spacing w:val="-3"/>
        </w:rPr>
        <w:t>、碳排放权交易，同时提高了自己的外语及跨文化沟通交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流能力，增强</w:t>
      </w:r>
      <w:r>
        <w:rPr>
          <w:rFonts w:ascii="FangSong" w:hAnsi="FangSong" w:eastAsia="FangSong" w:cs="FangSong"/>
          <w:sz w:val="28"/>
          <w:szCs w:val="28"/>
          <w:spacing w:val="-1"/>
        </w:rPr>
        <w:t>了就业竞争力。</w:t>
      </w:r>
    </w:p>
    <w:p>
      <w:pPr>
        <w:ind w:left="29" w:right="11" w:firstLine="563"/>
        <w:spacing w:line="36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2"/>
        </w:rPr>
        <w:t>鼓</w:t>
      </w:r>
      <w:r>
        <w:rPr>
          <w:rFonts w:ascii="FangSong" w:hAnsi="FangSong" w:eastAsia="FangSong" w:cs="FangSong"/>
          <w:sz w:val="28"/>
          <w:szCs w:val="28"/>
          <w:spacing w:val="8"/>
        </w:rPr>
        <w:t>励</w:t>
      </w:r>
      <w:r>
        <w:rPr>
          <w:rFonts w:ascii="FangSong" w:hAnsi="FangSong" w:eastAsia="FangSong" w:cs="FangSong"/>
          <w:sz w:val="28"/>
          <w:szCs w:val="28"/>
          <w:spacing w:val="6"/>
        </w:rPr>
        <w:t>研究生积极申报《海南省普通高等学校研究生创新科研课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题</w:t>
      </w:r>
      <w:r>
        <w:rPr>
          <w:rFonts w:ascii="FangSong" w:hAnsi="FangSong" w:eastAsia="FangSong" w:cs="FangSong"/>
          <w:sz w:val="28"/>
          <w:szCs w:val="28"/>
          <w:spacing w:val="-5"/>
        </w:rPr>
        <w:t>》</w:t>
      </w:r>
      <w:r>
        <w:rPr>
          <w:rFonts w:ascii="FangSong" w:hAnsi="FangSong" w:eastAsia="FangSong" w:cs="FangSong"/>
          <w:sz w:val="28"/>
          <w:szCs w:val="28"/>
          <w:spacing w:val="-3"/>
        </w:rPr>
        <w:t>，提升研究生的创新能力与综合素质。2022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名研究生获得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海南省研</w:t>
      </w:r>
      <w:r>
        <w:rPr>
          <w:rFonts w:ascii="FangSong" w:hAnsi="FangSong" w:eastAsia="FangSong" w:cs="FangSong"/>
          <w:sz w:val="28"/>
          <w:szCs w:val="28"/>
          <w:spacing w:val="-5"/>
        </w:rPr>
        <w:t>究</w:t>
      </w:r>
      <w:r>
        <w:rPr>
          <w:rFonts w:ascii="FangSong" w:hAnsi="FangSong" w:eastAsia="FangSong" w:cs="FangSong"/>
          <w:sz w:val="28"/>
          <w:szCs w:val="28"/>
          <w:spacing w:val="-3"/>
        </w:rPr>
        <w:t>生创新科研课题，3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名研究生获得海南师范大学研究生创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新</w:t>
      </w:r>
      <w:r>
        <w:rPr>
          <w:rFonts w:ascii="FangSong" w:hAnsi="FangSong" w:eastAsia="FangSong" w:cs="FangSong"/>
          <w:sz w:val="28"/>
          <w:szCs w:val="28"/>
          <w:spacing w:val="-10"/>
        </w:rPr>
        <w:t>科</w:t>
      </w:r>
      <w:r>
        <w:rPr>
          <w:rFonts w:ascii="FangSong" w:hAnsi="FangSong" w:eastAsia="FangSong" w:cs="FangSong"/>
          <w:sz w:val="28"/>
          <w:szCs w:val="28"/>
          <w:spacing w:val="-6"/>
        </w:rPr>
        <w:t>研课题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(表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2)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。</w:t>
      </w:r>
    </w:p>
    <w:p>
      <w:pPr>
        <w:ind w:left="675"/>
        <w:spacing w:before="49" w:line="230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2"/>
        </w:rPr>
        <w:t>表</w:t>
      </w:r>
      <w:r>
        <w:rPr>
          <w:rFonts w:ascii="FangSong" w:hAnsi="FangSong" w:eastAsia="FangSong" w:cs="FangSong"/>
          <w:sz w:val="23"/>
          <w:szCs w:val="23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2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6"/>
        </w:rPr>
        <w:t>年度地理与环境科学学院研究生创新科研课题立项汇总表</w:t>
      </w:r>
    </w:p>
    <w:p>
      <w:pPr>
        <w:spacing w:line="67" w:lineRule="exact"/>
        <w:rPr/>
      </w:pPr>
      <w:r/>
    </w:p>
    <w:tbl>
      <w:tblPr>
        <w:tblStyle w:val="2"/>
        <w:tblW w:w="7942" w:type="dxa"/>
        <w:tblInd w:w="19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47"/>
        <w:gridCol w:w="1338"/>
        <w:gridCol w:w="2934"/>
        <w:gridCol w:w="1139"/>
        <w:gridCol w:w="884"/>
      </w:tblGrid>
      <w:tr>
        <w:trPr>
          <w:trHeight w:val="864" w:hRule="atLeast"/>
        </w:trPr>
        <w:tc>
          <w:tcPr>
            <w:tcW w:w="1647" w:type="dxa"/>
            <w:vAlign w:val="top"/>
          </w:tcPr>
          <w:p>
            <w:pPr>
              <w:ind w:left="355"/>
              <w:spacing w:before="311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项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目编号</w:t>
            </w:r>
          </w:p>
        </w:tc>
        <w:tc>
          <w:tcPr>
            <w:tcW w:w="1338" w:type="dxa"/>
            <w:vAlign w:val="top"/>
          </w:tcPr>
          <w:p>
            <w:pPr>
              <w:ind w:left="441"/>
              <w:spacing w:before="15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  <w:position w:val="5"/>
              </w:rPr>
              <w:t>课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  <w:position w:val="5"/>
              </w:rPr>
              <w:t>题</w:t>
            </w:r>
          </w:p>
          <w:p>
            <w:pPr>
              <w:ind w:left="354"/>
              <w:spacing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8"/>
              </w:rPr>
              <w:t>申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5"/>
              </w:rPr>
              <w:t>请人</w:t>
            </w:r>
          </w:p>
        </w:tc>
        <w:tc>
          <w:tcPr>
            <w:tcW w:w="2934" w:type="dxa"/>
            <w:vAlign w:val="top"/>
          </w:tcPr>
          <w:p>
            <w:pPr>
              <w:ind w:left="792"/>
              <w:spacing w:before="311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申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请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</w:rPr>
              <w:t>课题名称</w:t>
            </w:r>
          </w:p>
        </w:tc>
        <w:tc>
          <w:tcPr>
            <w:tcW w:w="1139" w:type="dxa"/>
            <w:vAlign w:val="top"/>
          </w:tcPr>
          <w:p>
            <w:pPr>
              <w:ind w:left="120" w:right="86" w:firstLine="113"/>
              <w:spacing w:before="15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</w:rPr>
              <w:t>资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助金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</w:rPr>
              <w:t>额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(元)</w:t>
            </w:r>
          </w:p>
        </w:tc>
        <w:tc>
          <w:tcPr>
            <w:tcW w:w="884" w:type="dxa"/>
            <w:vAlign w:val="top"/>
          </w:tcPr>
          <w:p>
            <w:pPr>
              <w:ind w:left="216"/>
              <w:spacing w:before="31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类</w:t>
            </w:r>
            <w:r>
              <w:rPr>
                <w:rFonts w:ascii="FangSong" w:hAnsi="FangSong" w:eastAsia="FangSong" w:cs="FangSong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别</w:t>
            </w:r>
          </w:p>
        </w:tc>
      </w:tr>
      <w:tr>
        <w:trPr>
          <w:trHeight w:val="940" w:hRule="atLeast"/>
        </w:trPr>
        <w:tc>
          <w:tcPr>
            <w:tcW w:w="1647" w:type="dxa"/>
            <w:vAlign w:val="top"/>
          </w:tcPr>
          <w:p>
            <w:pPr>
              <w:ind w:left="116"/>
              <w:spacing w:before="304" w:line="322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4"/>
              </w:rPr>
              <w:t>Qhys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  <w:position w:val="4"/>
              </w:rPr>
              <w:t>022-204</w:t>
            </w:r>
          </w:p>
        </w:tc>
        <w:tc>
          <w:tcPr>
            <w:tcW w:w="13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陈红利</w:t>
            </w:r>
          </w:p>
        </w:tc>
        <w:tc>
          <w:tcPr>
            <w:tcW w:w="2934" w:type="dxa"/>
            <w:vAlign w:val="top"/>
          </w:tcPr>
          <w:p>
            <w:pPr>
              <w:ind w:left="162"/>
              <w:spacing w:before="38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南岛热带雨林生态系统</w:t>
            </w:r>
          </w:p>
          <w:p>
            <w:pPr>
              <w:ind w:left="163"/>
              <w:spacing w:before="27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土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壤固碳微生物群落结构</w:t>
            </w:r>
          </w:p>
          <w:p>
            <w:pPr>
              <w:ind w:left="770"/>
              <w:spacing w:before="27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与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多样性研究</w:t>
            </w:r>
          </w:p>
        </w:tc>
        <w:tc>
          <w:tcPr>
            <w:tcW w:w="113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000</w:t>
            </w:r>
          </w:p>
        </w:tc>
        <w:tc>
          <w:tcPr>
            <w:tcW w:w="88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17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省级</w:t>
            </w:r>
          </w:p>
        </w:tc>
      </w:tr>
      <w:tr>
        <w:trPr>
          <w:trHeight w:val="859" w:hRule="atLeast"/>
        </w:trPr>
        <w:tc>
          <w:tcPr>
            <w:tcW w:w="1647" w:type="dxa"/>
            <w:vAlign w:val="top"/>
          </w:tcPr>
          <w:p>
            <w:pPr>
              <w:ind w:left="116"/>
              <w:spacing w:before="263" w:line="323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4"/>
              </w:rPr>
              <w:t>Qhys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  <w:position w:val="4"/>
              </w:rPr>
              <w:t>022-205</w:t>
            </w:r>
          </w:p>
        </w:tc>
        <w:tc>
          <w:tcPr>
            <w:tcW w:w="1338" w:type="dxa"/>
            <w:vAlign w:val="top"/>
          </w:tcPr>
          <w:p>
            <w:pPr>
              <w:ind w:left="328"/>
              <w:spacing w:before="30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曹玉苗</w:t>
            </w:r>
          </w:p>
        </w:tc>
        <w:tc>
          <w:tcPr>
            <w:tcW w:w="2934" w:type="dxa"/>
            <w:vAlign w:val="top"/>
          </w:tcPr>
          <w:p>
            <w:pPr>
              <w:ind w:left="877" w:right="143" w:hanging="717"/>
              <w:spacing w:before="154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减施氮肥对热带农田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2"/>
                <w:position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排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放的影响</w:t>
            </w:r>
          </w:p>
        </w:tc>
        <w:tc>
          <w:tcPr>
            <w:tcW w:w="113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000</w:t>
            </w:r>
          </w:p>
        </w:tc>
        <w:tc>
          <w:tcPr>
            <w:tcW w:w="884" w:type="dxa"/>
            <w:vAlign w:val="top"/>
          </w:tcPr>
          <w:p>
            <w:pPr>
              <w:ind w:left="217"/>
              <w:spacing w:before="30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省级</w:t>
            </w:r>
          </w:p>
        </w:tc>
      </w:tr>
      <w:tr>
        <w:trPr>
          <w:trHeight w:val="859" w:hRule="atLeast"/>
        </w:trPr>
        <w:tc>
          <w:tcPr>
            <w:tcW w:w="1647" w:type="dxa"/>
            <w:vAlign w:val="top"/>
          </w:tcPr>
          <w:p>
            <w:pPr>
              <w:ind w:left="110"/>
              <w:spacing w:before="266" w:line="323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hs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2"/>
              </w:rPr>
              <w:t>yx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2022-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10</w:t>
            </w:r>
          </w:p>
        </w:tc>
        <w:tc>
          <w:tcPr>
            <w:tcW w:w="1338" w:type="dxa"/>
            <w:vAlign w:val="top"/>
          </w:tcPr>
          <w:p>
            <w:pPr>
              <w:ind w:left="323"/>
              <w:spacing w:before="30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胡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元涛</w:t>
            </w:r>
          </w:p>
        </w:tc>
        <w:tc>
          <w:tcPr>
            <w:tcW w:w="2934" w:type="dxa"/>
            <w:vAlign w:val="top"/>
          </w:tcPr>
          <w:p>
            <w:pPr>
              <w:ind w:left="521" w:right="143" w:hanging="359"/>
              <w:spacing w:before="152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南天然橡胶产业演变机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制与转型路径研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究</w:t>
            </w:r>
          </w:p>
        </w:tc>
        <w:tc>
          <w:tcPr>
            <w:tcW w:w="113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35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500</w:t>
            </w:r>
          </w:p>
        </w:tc>
        <w:tc>
          <w:tcPr>
            <w:tcW w:w="884" w:type="dxa"/>
            <w:vAlign w:val="top"/>
          </w:tcPr>
          <w:p>
            <w:pPr>
              <w:ind w:left="216"/>
              <w:spacing w:before="309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校级</w:t>
            </w:r>
          </w:p>
        </w:tc>
      </w:tr>
      <w:tr>
        <w:trPr>
          <w:trHeight w:val="940" w:hRule="atLeast"/>
        </w:trPr>
        <w:tc>
          <w:tcPr>
            <w:tcW w:w="1647" w:type="dxa"/>
            <w:vAlign w:val="top"/>
          </w:tcPr>
          <w:p>
            <w:pPr>
              <w:ind w:left="201"/>
              <w:spacing w:before="307" w:line="322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hsyx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  <w:position w:val="2"/>
              </w:rPr>
              <w:t>202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2-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11</w:t>
            </w:r>
          </w:p>
        </w:tc>
        <w:tc>
          <w:tcPr>
            <w:tcW w:w="13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费雪艳</w:t>
            </w:r>
          </w:p>
        </w:tc>
        <w:tc>
          <w:tcPr>
            <w:tcW w:w="2934" w:type="dxa"/>
            <w:vAlign w:val="top"/>
          </w:tcPr>
          <w:p>
            <w:pPr>
              <w:ind w:left="163"/>
              <w:spacing w:before="40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传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统村落文化遗产景观的</w:t>
            </w:r>
          </w:p>
          <w:p>
            <w:pPr>
              <w:ind w:left="163"/>
              <w:spacing w:before="2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传承变异机制—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以疍家渔</w:t>
            </w:r>
          </w:p>
          <w:p>
            <w:pPr>
              <w:ind w:left="1120"/>
              <w:spacing w:before="25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村为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例</w:t>
            </w:r>
          </w:p>
        </w:tc>
        <w:tc>
          <w:tcPr>
            <w:tcW w:w="113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35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500</w:t>
            </w:r>
          </w:p>
        </w:tc>
        <w:tc>
          <w:tcPr>
            <w:tcW w:w="88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216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校级</w:t>
            </w:r>
          </w:p>
        </w:tc>
      </w:tr>
      <w:tr>
        <w:trPr>
          <w:trHeight w:val="945" w:hRule="atLeast"/>
        </w:trPr>
        <w:tc>
          <w:tcPr>
            <w:tcW w:w="16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66" w:line="322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2"/>
              </w:rPr>
              <w:t>hsyx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2022-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  <w:position w:val="2"/>
              </w:rPr>
              <w:t>12</w:t>
            </w:r>
          </w:p>
        </w:tc>
        <w:tc>
          <w:tcPr>
            <w:tcW w:w="13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陈思文</w:t>
            </w:r>
          </w:p>
        </w:tc>
        <w:tc>
          <w:tcPr>
            <w:tcW w:w="2934" w:type="dxa"/>
            <w:vAlign w:val="top"/>
          </w:tcPr>
          <w:p>
            <w:pPr>
              <w:ind w:left="166"/>
              <w:spacing w:before="4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东寨港红树林湿地常见鱼</w:t>
            </w:r>
          </w:p>
          <w:p>
            <w:pPr>
              <w:ind w:left="138"/>
              <w:spacing w:before="2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种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污染特征及影响</w:t>
            </w:r>
          </w:p>
          <w:p>
            <w:pPr>
              <w:ind w:left="1265"/>
              <w:spacing w:before="26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>因</w:t>
            </w: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素</w:t>
            </w:r>
          </w:p>
        </w:tc>
        <w:tc>
          <w:tcPr>
            <w:tcW w:w="113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35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500</w:t>
            </w:r>
          </w:p>
        </w:tc>
        <w:tc>
          <w:tcPr>
            <w:tcW w:w="88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16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校级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0"/>
          <w:pgSz w:w="11906" w:h="16839"/>
          <w:pgMar w:top="400" w:right="1785" w:bottom="1168" w:left="1785" w:header="0" w:footer="1008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4665" w:lineRule="exact"/>
        <w:textAlignment w:val="center"/>
        <w:rPr/>
      </w:pPr>
      <w:r>
        <w:drawing>
          <wp:inline distT="0" distB="0" distL="0" distR="0">
            <wp:extent cx="6003035" cy="2962656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3035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67"/>
        <w:spacing w:before="313" w:line="230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8"/>
        </w:rPr>
        <w:t>图</w:t>
      </w:r>
      <w:r>
        <w:rPr>
          <w:rFonts w:ascii="FangSong" w:hAnsi="FangSong" w:eastAsia="FangSong" w:cs="FangSong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4"/>
        </w:rPr>
        <w:t>研究生参加零碳审计基础项目研究生课程</w:t>
      </w:r>
    </w:p>
    <w:p>
      <w:pPr>
        <w:ind w:left="1022"/>
        <w:spacing w:before="274" w:line="241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10"/>
        </w:rPr>
        <w:t>三</w:t>
      </w:r>
      <w:r>
        <w:rPr>
          <w:rFonts w:ascii="SimHei" w:hAnsi="SimHei" w:eastAsia="SimHei" w:cs="SimHei"/>
          <w:sz w:val="35"/>
          <w:szCs w:val="35"/>
          <w:spacing w:val="8"/>
        </w:rPr>
        <w:t>、研究生培养与教学工作</w:t>
      </w:r>
    </w:p>
    <w:p>
      <w:pPr>
        <w:ind w:left="940"/>
        <w:spacing w:before="206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一)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师资队伍</w:t>
      </w:r>
    </w:p>
    <w:p>
      <w:pPr>
        <w:ind w:left="954"/>
        <w:spacing w:before="290" w:line="223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2"/>
        </w:rPr>
        <w:t>专任教师数量及结构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(见表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3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</w:p>
    <w:p>
      <w:pPr>
        <w:ind w:left="3065"/>
        <w:spacing w:before="307" w:line="230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4"/>
        </w:rPr>
        <w:t>表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4"/>
        </w:rPr>
        <w:t>学位点专任教师数量及结</w:t>
      </w:r>
      <w:r>
        <w:rPr>
          <w:rFonts w:ascii="FangSong" w:hAnsi="FangSong" w:eastAsia="FangSong" w:cs="FangSong"/>
          <w:sz w:val="23"/>
          <w:szCs w:val="23"/>
          <w:spacing w:val="3"/>
        </w:rPr>
        <w:t>构</w:t>
      </w:r>
    </w:p>
    <w:p>
      <w:pPr>
        <w:spacing w:line="146" w:lineRule="exact"/>
        <w:rPr/>
      </w:pPr>
      <w:r/>
    </w:p>
    <w:tbl>
      <w:tblPr>
        <w:tblStyle w:val="2"/>
        <w:tblW w:w="7539" w:type="dxa"/>
        <w:tblInd w:w="7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46"/>
        <w:gridCol w:w="524"/>
        <w:gridCol w:w="663"/>
        <w:gridCol w:w="541"/>
        <w:gridCol w:w="531"/>
        <w:gridCol w:w="539"/>
        <w:gridCol w:w="655"/>
        <w:gridCol w:w="772"/>
        <w:gridCol w:w="772"/>
        <w:gridCol w:w="795"/>
        <w:gridCol w:w="801"/>
      </w:tblGrid>
      <w:tr>
        <w:trPr>
          <w:trHeight w:val="343" w:hRule="atLeast"/>
        </w:trPr>
        <w:tc>
          <w:tcPr>
            <w:tcW w:w="946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30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业技</w:t>
            </w:r>
          </w:p>
          <w:p>
            <w:pPr>
              <w:ind w:left="368"/>
              <w:spacing w:before="2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术</w:t>
            </w:r>
          </w:p>
          <w:p>
            <w:pPr>
              <w:ind w:left="246"/>
              <w:spacing w:before="2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职务</w:t>
            </w:r>
          </w:p>
        </w:tc>
        <w:tc>
          <w:tcPr>
            <w:tcW w:w="52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39" w:right="21" w:hanging="2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人数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合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计</w:t>
            </w:r>
          </w:p>
        </w:tc>
        <w:tc>
          <w:tcPr>
            <w:tcW w:w="2929" w:type="dxa"/>
            <w:vAlign w:val="top"/>
            <w:gridSpan w:val="5"/>
          </w:tcPr>
          <w:p>
            <w:pPr>
              <w:ind w:left="1002"/>
              <w:spacing w:before="50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年龄分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布</w:t>
            </w:r>
          </w:p>
        </w:tc>
        <w:tc>
          <w:tcPr>
            <w:tcW w:w="1544" w:type="dxa"/>
            <w:vAlign w:val="top"/>
            <w:gridSpan w:val="2"/>
          </w:tcPr>
          <w:p>
            <w:pPr>
              <w:ind w:left="315"/>
              <w:spacing w:before="4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历结构</w:t>
            </w:r>
          </w:p>
        </w:tc>
        <w:tc>
          <w:tcPr>
            <w:tcW w:w="79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67" w:right="33" w:hanging="17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硕士导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师人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数</w:t>
            </w:r>
          </w:p>
        </w:tc>
        <w:tc>
          <w:tcPr>
            <w:tcW w:w="80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60"/>
              <w:spacing w:before="15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最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高学</w:t>
            </w:r>
          </w:p>
          <w:p>
            <w:pPr>
              <w:ind w:left="55"/>
              <w:spacing w:before="2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位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非本</w:t>
            </w:r>
          </w:p>
          <w:p>
            <w:pPr>
              <w:ind w:left="59"/>
              <w:spacing w:before="23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单位授</w:t>
            </w:r>
          </w:p>
          <w:p>
            <w:pPr>
              <w:ind w:left="62"/>
              <w:spacing w:before="26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予的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人</w:t>
            </w:r>
          </w:p>
          <w:p>
            <w:pPr>
              <w:ind w:left="293"/>
              <w:spacing w:before="2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数</w:t>
            </w:r>
          </w:p>
        </w:tc>
      </w:tr>
      <w:tr>
        <w:trPr>
          <w:trHeight w:val="1453" w:hRule="atLeast"/>
        </w:trPr>
        <w:tc>
          <w:tcPr>
            <w:tcW w:w="946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33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25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岁</w:t>
            </w:r>
          </w:p>
          <w:p>
            <w:pPr>
              <w:ind w:left="107"/>
              <w:spacing w:before="23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以</w:t>
            </w:r>
          </w:p>
          <w:p>
            <w:pPr>
              <w:ind w:left="229"/>
              <w:spacing w:before="1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下</w:t>
            </w:r>
          </w:p>
        </w:tc>
        <w:tc>
          <w:tcPr>
            <w:tcW w:w="5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66" w:line="23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26</w:t>
            </w:r>
          </w:p>
          <w:p>
            <w:pPr>
              <w:ind w:left="169"/>
              <w:spacing w:line="24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至</w:t>
            </w:r>
          </w:p>
          <w:p>
            <w:pPr>
              <w:ind w:left="155"/>
              <w:spacing w:before="34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35</w:t>
            </w:r>
          </w:p>
          <w:p>
            <w:pPr>
              <w:ind w:left="165"/>
              <w:spacing w:before="39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岁</w:t>
            </w:r>
          </w:p>
        </w:tc>
        <w:tc>
          <w:tcPr>
            <w:tcW w:w="53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52"/>
              <w:spacing w:before="66" w:line="23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36</w:t>
            </w:r>
          </w:p>
          <w:p>
            <w:pPr>
              <w:ind w:left="165"/>
              <w:spacing w:line="24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至</w:t>
            </w:r>
          </w:p>
          <w:p>
            <w:pPr>
              <w:ind w:left="146"/>
              <w:spacing w:before="34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45</w:t>
            </w:r>
          </w:p>
          <w:p>
            <w:pPr>
              <w:ind w:left="162"/>
              <w:spacing w:before="39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岁</w:t>
            </w:r>
          </w:p>
        </w:tc>
        <w:tc>
          <w:tcPr>
            <w:tcW w:w="53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66" w:line="23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46</w:t>
            </w:r>
          </w:p>
          <w:p>
            <w:pPr>
              <w:ind w:left="170"/>
              <w:spacing w:line="24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至</w:t>
            </w:r>
          </w:p>
          <w:p>
            <w:pPr>
              <w:ind w:left="158"/>
              <w:spacing w:before="3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59</w:t>
            </w:r>
          </w:p>
          <w:p>
            <w:pPr>
              <w:ind w:left="166"/>
              <w:spacing w:before="39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岁</w:t>
            </w:r>
          </w:p>
        </w:tc>
        <w:tc>
          <w:tcPr>
            <w:tcW w:w="65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33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60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岁</w:t>
            </w:r>
          </w:p>
          <w:p>
            <w:pPr>
              <w:ind w:left="101"/>
              <w:spacing w:before="23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以</w:t>
            </w:r>
          </w:p>
          <w:p>
            <w:pPr>
              <w:ind w:left="220"/>
              <w:spacing w:before="18" w:line="305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上</w:t>
            </w:r>
          </w:p>
        </w:tc>
        <w:tc>
          <w:tcPr>
            <w:tcW w:w="772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9" w:right="24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博士学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位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教师</w:t>
            </w:r>
          </w:p>
        </w:tc>
        <w:tc>
          <w:tcPr>
            <w:tcW w:w="772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9" w:right="23" w:hanging="2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硕士学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位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教师</w:t>
            </w:r>
          </w:p>
        </w:tc>
        <w:tc>
          <w:tcPr>
            <w:tcW w:w="79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946" w:type="dxa"/>
            <w:vAlign w:val="top"/>
          </w:tcPr>
          <w:p>
            <w:pPr>
              <w:ind w:left="130"/>
              <w:spacing w:before="91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正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高级</w:t>
            </w:r>
          </w:p>
        </w:tc>
        <w:tc>
          <w:tcPr>
            <w:tcW w:w="524" w:type="dxa"/>
            <w:vAlign w:val="top"/>
          </w:tcPr>
          <w:p>
            <w:pPr>
              <w:ind w:left="207"/>
              <w:spacing w:before="1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663" w:type="dxa"/>
            <w:vAlign w:val="top"/>
          </w:tcPr>
          <w:p>
            <w:pPr>
              <w:ind w:left="277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41" w:type="dxa"/>
            <w:vAlign w:val="top"/>
          </w:tcPr>
          <w:p>
            <w:pPr>
              <w:ind w:left="214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31" w:type="dxa"/>
            <w:vAlign w:val="top"/>
          </w:tcPr>
          <w:p>
            <w:pPr>
              <w:ind w:left="211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39" w:type="dxa"/>
            <w:vAlign w:val="top"/>
          </w:tcPr>
          <w:p>
            <w:pPr>
              <w:ind w:left="216"/>
              <w:spacing w:before="1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655" w:type="dxa"/>
            <w:vAlign w:val="top"/>
          </w:tcPr>
          <w:p>
            <w:pPr>
              <w:ind w:left="271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337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772" w:type="dxa"/>
            <w:vAlign w:val="top"/>
          </w:tcPr>
          <w:p>
            <w:pPr>
              <w:ind w:left="332"/>
              <w:spacing w:before="1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95" w:type="dxa"/>
            <w:vAlign w:val="top"/>
          </w:tcPr>
          <w:p>
            <w:pPr>
              <w:ind w:left="346"/>
              <w:spacing w:before="1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801" w:type="dxa"/>
            <w:vAlign w:val="top"/>
          </w:tcPr>
          <w:p>
            <w:pPr>
              <w:ind w:left="347"/>
              <w:spacing w:before="1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</w:tr>
      <w:tr>
        <w:trPr>
          <w:trHeight w:val="459" w:hRule="atLeast"/>
        </w:trPr>
        <w:tc>
          <w:tcPr>
            <w:tcW w:w="946" w:type="dxa"/>
            <w:vAlign w:val="top"/>
          </w:tcPr>
          <w:p>
            <w:pPr>
              <w:ind w:left="134"/>
              <w:spacing w:before="109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高级</w:t>
            </w:r>
          </w:p>
        </w:tc>
        <w:tc>
          <w:tcPr>
            <w:tcW w:w="524" w:type="dxa"/>
            <w:vAlign w:val="top"/>
          </w:tcPr>
          <w:p>
            <w:pPr>
              <w:ind w:left="165"/>
              <w:spacing w:before="151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  <w:tc>
          <w:tcPr>
            <w:tcW w:w="663" w:type="dxa"/>
            <w:vAlign w:val="top"/>
          </w:tcPr>
          <w:p>
            <w:pPr>
              <w:ind w:left="277"/>
              <w:spacing w:before="151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41" w:type="dxa"/>
            <w:vAlign w:val="top"/>
          </w:tcPr>
          <w:p>
            <w:pPr>
              <w:ind w:left="210"/>
              <w:spacing w:before="15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531" w:type="dxa"/>
            <w:vAlign w:val="top"/>
          </w:tcPr>
          <w:p>
            <w:pPr>
              <w:ind w:left="213"/>
              <w:spacing w:before="155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539" w:type="dxa"/>
            <w:vAlign w:val="top"/>
          </w:tcPr>
          <w:p>
            <w:pPr>
              <w:ind w:left="216"/>
              <w:spacing w:before="151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655" w:type="dxa"/>
            <w:vAlign w:val="top"/>
          </w:tcPr>
          <w:p>
            <w:pPr>
              <w:ind w:left="271"/>
              <w:spacing w:before="151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326"/>
              <w:spacing w:before="15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772" w:type="dxa"/>
            <w:vAlign w:val="top"/>
          </w:tcPr>
          <w:p>
            <w:pPr>
              <w:ind w:left="327"/>
              <w:spacing w:before="15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795" w:type="dxa"/>
            <w:vAlign w:val="top"/>
          </w:tcPr>
          <w:p>
            <w:pPr>
              <w:ind w:left="348"/>
              <w:spacing w:before="155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801" w:type="dxa"/>
            <w:vAlign w:val="top"/>
          </w:tcPr>
          <w:p>
            <w:pPr>
              <w:ind w:left="306"/>
              <w:spacing w:before="151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451" w:hRule="atLeast"/>
        </w:trPr>
        <w:tc>
          <w:tcPr>
            <w:tcW w:w="946" w:type="dxa"/>
            <w:vAlign w:val="top"/>
          </w:tcPr>
          <w:p>
            <w:pPr>
              <w:ind w:left="278"/>
              <w:spacing w:before="10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4"/>
              </w:rPr>
              <w:t>中</w:t>
            </w:r>
            <w:r>
              <w:rPr>
                <w:rFonts w:ascii="FangSong" w:hAnsi="FangSong" w:eastAsia="FangSong" w:cs="FangSong"/>
                <w:sz w:val="23"/>
                <w:szCs w:val="23"/>
                <w:spacing w:val="-13"/>
              </w:rPr>
              <w:t>级</w:t>
            </w:r>
          </w:p>
        </w:tc>
        <w:tc>
          <w:tcPr>
            <w:tcW w:w="524" w:type="dxa"/>
            <w:vAlign w:val="top"/>
          </w:tcPr>
          <w:p>
            <w:pPr>
              <w:ind w:left="165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5</w:t>
            </w:r>
          </w:p>
        </w:tc>
        <w:tc>
          <w:tcPr>
            <w:tcW w:w="663" w:type="dxa"/>
            <w:vAlign w:val="top"/>
          </w:tcPr>
          <w:p>
            <w:pPr>
              <w:ind w:left="277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41" w:type="dxa"/>
            <w:vAlign w:val="top"/>
          </w:tcPr>
          <w:p>
            <w:pPr>
              <w:ind w:left="215"/>
              <w:spacing w:before="14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531" w:type="dxa"/>
            <w:vAlign w:val="top"/>
          </w:tcPr>
          <w:p>
            <w:pPr>
              <w:ind w:left="212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539" w:type="dxa"/>
            <w:vAlign w:val="top"/>
          </w:tcPr>
          <w:p>
            <w:pPr>
              <w:ind w:left="215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655" w:type="dxa"/>
            <w:vAlign w:val="top"/>
          </w:tcPr>
          <w:p>
            <w:pPr>
              <w:ind w:left="271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291"/>
              <w:spacing w:before="14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4</w:t>
            </w:r>
          </w:p>
        </w:tc>
        <w:tc>
          <w:tcPr>
            <w:tcW w:w="772" w:type="dxa"/>
            <w:vAlign w:val="top"/>
          </w:tcPr>
          <w:p>
            <w:pPr>
              <w:ind w:left="351"/>
              <w:spacing w:before="14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95" w:type="dxa"/>
            <w:vAlign w:val="top"/>
          </w:tcPr>
          <w:p>
            <w:pPr>
              <w:ind w:left="346"/>
              <w:spacing w:before="14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801" w:type="dxa"/>
            <w:vAlign w:val="top"/>
          </w:tcPr>
          <w:p>
            <w:pPr>
              <w:ind w:left="306"/>
              <w:spacing w:before="14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4</w:t>
            </w:r>
          </w:p>
        </w:tc>
      </w:tr>
      <w:tr>
        <w:trPr>
          <w:trHeight w:val="469" w:hRule="atLeast"/>
        </w:trPr>
        <w:tc>
          <w:tcPr>
            <w:tcW w:w="946" w:type="dxa"/>
            <w:vAlign w:val="top"/>
          </w:tcPr>
          <w:p>
            <w:pPr>
              <w:ind w:left="249"/>
              <w:spacing w:before="11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其他</w:t>
            </w:r>
          </w:p>
        </w:tc>
        <w:tc>
          <w:tcPr>
            <w:tcW w:w="524" w:type="dxa"/>
            <w:vAlign w:val="top"/>
          </w:tcPr>
          <w:p>
            <w:pPr>
              <w:ind w:left="206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663" w:type="dxa"/>
            <w:vAlign w:val="top"/>
          </w:tcPr>
          <w:p>
            <w:pPr>
              <w:ind w:left="277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41" w:type="dxa"/>
            <w:vAlign w:val="top"/>
          </w:tcPr>
          <w:p>
            <w:pPr>
              <w:ind w:left="214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31" w:type="dxa"/>
            <w:vAlign w:val="top"/>
          </w:tcPr>
          <w:p>
            <w:pPr>
              <w:ind w:left="211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39" w:type="dxa"/>
            <w:vAlign w:val="top"/>
          </w:tcPr>
          <w:p>
            <w:pPr>
              <w:ind w:left="215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655" w:type="dxa"/>
            <w:vAlign w:val="top"/>
          </w:tcPr>
          <w:p>
            <w:pPr>
              <w:ind w:left="271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331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332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95" w:type="dxa"/>
            <w:vAlign w:val="top"/>
          </w:tcPr>
          <w:p>
            <w:pPr>
              <w:ind w:left="345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801" w:type="dxa"/>
            <w:vAlign w:val="top"/>
          </w:tcPr>
          <w:p>
            <w:pPr>
              <w:ind w:left="347"/>
              <w:spacing w:before="15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</w:tr>
      <w:tr>
        <w:trPr>
          <w:trHeight w:val="514" w:hRule="atLeast"/>
        </w:trPr>
        <w:tc>
          <w:tcPr>
            <w:tcW w:w="946" w:type="dxa"/>
            <w:vAlign w:val="top"/>
          </w:tcPr>
          <w:p>
            <w:pPr>
              <w:ind w:left="257"/>
              <w:spacing w:before="13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总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计</w:t>
            </w:r>
          </w:p>
        </w:tc>
        <w:tc>
          <w:tcPr>
            <w:tcW w:w="524" w:type="dxa"/>
            <w:vAlign w:val="top"/>
          </w:tcPr>
          <w:p>
            <w:pPr>
              <w:ind w:left="147"/>
              <w:spacing w:before="17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34</w:t>
            </w:r>
          </w:p>
        </w:tc>
        <w:tc>
          <w:tcPr>
            <w:tcW w:w="663" w:type="dxa"/>
            <w:vAlign w:val="top"/>
          </w:tcPr>
          <w:p>
            <w:pPr>
              <w:ind w:left="277"/>
              <w:spacing w:before="17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541" w:type="dxa"/>
            <w:vAlign w:val="top"/>
          </w:tcPr>
          <w:p>
            <w:pPr>
              <w:ind w:left="178"/>
              <w:spacing w:before="17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1"/>
              </w:rPr>
              <w:t>1</w:t>
            </w:r>
          </w:p>
        </w:tc>
        <w:tc>
          <w:tcPr>
            <w:tcW w:w="531" w:type="dxa"/>
            <w:vAlign w:val="top"/>
          </w:tcPr>
          <w:p>
            <w:pPr>
              <w:ind w:left="175"/>
              <w:spacing w:before="17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1"/>
              </w:rPr>
              <w:t>1</w:t>
            </w:r>
          </w:p>
        </w:tc>
        <w:tc>
          <w:tcPr>
            <w:tcW w:w="539" w:type="dxa"/>
            <w:vAlign w:val="top"/>
          </w:tcPr>
          <w:p>
            <w:pPr>
              <w:ind w:left="174"/>
              <w:spacing w:before="17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2</w:t>
            </w:r>
          </w:p>
        </w:tc>
        <w:tc>
          <w:tcPr>
            <w:tcW w:w="655" w:type="dxa"/>
            <w:vAlign w:val="top"/>
          </w:tcPr>
          <w:p>
            <w:pPr>
              <w:ind w:left="271"/>
              <w:spacing w:before="17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772" w:type="dxa"/>
            <w:vAlign w:val="top"/>
          </w:tcPr>
          <w:p>
            <w:pPr>
              <w:ind w:left="268"/>
              <w:spacing w:before="17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26</w:t>
            </w:r>
          </w:p>
        </w:tc>
        <w:tc>
          <w:tcPr>
            <w:tcW w:w="772" w:type="dxa"/>
            <w:vAlign w:val="top"/>
          </w:tcPr>
          <w:p>
            <w:pPr>
              <w:ind w:left="335"/>
              <w:spacing w:before="181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795" w:type="dxa"/>
            <w:vAlign w:val="top"/>
          </w:tcPr>
          <w:p>
            <w:pPr>
              <w:ind w:left="304"/>
              <w:spacing w:before="17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7</w:t>
            </w:r>
          </w:p>
        </w:tc>
        <w:tc>
          <w:tcPr>
            <w:tcW w:w="801" w:type="dxa"/>
            <w:vAlign w:val="top"/>
          </w:tcPr>
          <w:p>
            <w:pPr>
              <w:ind w:left="288"/>
              <w:spacing w:before="17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1"/>
          <w:pgSz w:w="11906" w:h="16839"/>
          <w:pgMar w:top="400" w:right="1017" w:bottom="1168" w:left="143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76"/>
        <w:spacing w:before="91" w:line="223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2"/>
        </w:rPr>
        <w:t>学科主要方向、学科带头人及中青年学术骨干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(见表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4</w:t>
      </w:r>
      <w:r>
        <w:rPr>
          <w:rFonts w:ascii="FangSong" w:hAnsi="FangSong" w:eastAsia="FangSong" w:cs="FangSong"/>
          <w:sz w:val="28"/>
          <w:szCs w:val="28"/>
          <w:spacing w:val="2"/>
        </w:rPr>
        <w:t>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755"/>
        <w:spacing w:before="75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6"/>
        </w:rPr>
        <w:t>表</w:t>
      </w:r>
      <w:r>
        <w:rPr>
          <w:rFonts w:ascii="FangSong" w:hAnsi="FangSong" w:eastAsia="FangSong" w:cs="FangSong"/>
          <w:sz w:val="23"/>
          <w:szCs w:val="23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4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6"/>
        </w:rPr>
        <w:t>学科主要方向、学科带头人及中青年学术骨</w:t>
      </w:r>
      <w:r>
        <w:rPr>
          <w:rFonts w:ascii="FangSong" w:hAnsi="FangSong" w:eastAsia="FangSong" w:cs="FangSong"/>
          <w:sz w:val="23"/>
          <w:szCs w:val="23"/>
          <w:spacing w:val="3"/>
        </w:rPr>
        <w:t>干</w:t>
      </w:r>
    </w:p>
    <w:p>
      <w:pPr>
        <w:spacing w:line="145" w:lineRule="exact"/>
        <w:rPr/>
      </w:pPr>
      <w:r/>
    </w:p>
    <w:tbl>
      <w:tblPr>
        <w:tblStyle w:val="2"/>
        <w:tblW w:w="8742" w:type="dxa"/>
        <w:tblInd w:w="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9"/>
        <w:gridCol w:w="600"/>
        <w:gridCol w:w="390"/>
        <w:gridCol w:w="824"/>
        <w:gridCol w:w="390"/>
        <w:gridCol w:w="689"/>
        <w:gridCol w:w="5140"/>
      </w:tblGrid>
      <w:tr>
        <w:trPr>
          <w:trHeight w:val="942" w:hRule="atLeast"/>
        </w:trPr>
        <w:tc>
          <w:tcPr>
            <w:tcW w:w="709" w:type="dxa"/>
            <w:vAlign w:val="top"/>
          </w:tcPr>
          <w:p>
            <w:pPr>
              <w:ind w:left="49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4"/>
              </w:rPr>
              <w:t>学科方</w:t>
            </w:r>
          </w:p>
          <w:p>
            <w:pPr>
              <w:ind w:left="290"/>
              <w:spacing w:before="22" w:line="23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向</w:t>
            </w:r>
          </w:p>
          <w:p>
            <w:pPr>
              <w:ind w:left="142"/>
              <w:spacing w:before="20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1"/>
              </w:rPr>
              <w:t>名</w:t>
            </w:r>
            <w:r>
              <w:rPr>
                <w:rFonts w:ascii="FangSong" w:hAnsi="FangSong" w:eastAsia="FangSong" w:cs="FangSong"/>
                <w:sz w:val="23"/>
                <w:szCs w:val="23"/>
                <w:spacing w:val="-10"/>
              </w:rPr>
              <w:t>称</w:t>
            </w:r>
          </w:p>
        </w:tc>
        <w:tc>
          <w:tcPr>
            <w:tcW w:w="990" w:type="dxa"/>
            <w:vAlign w:val="top"/>
            <w:gridSpan w:val="2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67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项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目</w:t>
            </w:r>
          </w:p>
        </w:tc>
        <w:tc>
          <w:tcPr>
            <w:tcW w:w="824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83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姓名</w:t>
            </w:r>
          </w:p>
        </w:tc>
        <w:tc>
          <w:tcPr>
            <w:tcW w:w="390" w:type="dxa"/>
            <w:vAlign w:val="top"/>
            <w:textDirection w:val="tbRlV"/>
          </w:tcPr>
          <w:p>
            <w:pPr>
              <w:ind w:left="330"/>
              <w:spacing w:before="74" w:line="20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龄</w:t>
            </w:r>
          </w:p>
        </w:tc>
        <w:tc>
          <w:tcPr>
            <w:tcW w:w="689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职称</w:t>
            </w:r>
          </w:p>
        </w:tc>
        <w:tc>
          <w:tcPr>
            <w:tcW w:w="514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266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代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性学术成果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项)</w:t>
            </w:r>
          </w:p>
        </w:tc>
      </w:tr>
      <w:tr>
        <w:trPr>
          <w:trHeight w:val="3011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7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1"/>
              </w:rPr>
              <w:t>自</w:t>
            </w:r>
            <w:r>
              <w:rPr>
                <w:rFonts w:ascii="FangSong" w:hAnsi="FangSong" w:eastAsia="FangSong" w:cs="FangSong"/>
                <w:sz w:val="23"/>
                <w:szCs w:val="23"/>
                <w:spacing w:val="-20"/>
              </w:rPr>
              <w:t>然</w:t>
            </w:r>
          </w:p>
          <w:p>
            <w:pPr>
              <w:ind w:left="129"/>
              <w:spacing w:before="21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理</w:t>
            </w:r>
          </w:p>
          <w:p>
            <w:pPr>
              <w:ind w:left="258"/>
              <w:spacing w:before="1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学</w:t>
            </w:r>
          </w:p>
        </w:tc>
        <w:tc>
          <w:tcPr>
            <w:tcW w:w="990" w:type="dxa"/>
            <w:vAlign w:val="top"/>
            <w:gridSpan w:val="2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头人</w:t>
            </w:r>
          </w:p>
        </w:tc>
        <w:tc>
          <w:tcPr>
            <w:tcW w:w="8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  <w:tc>
          <w:tcPr>
            <w:tcW w:w="39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8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51</w:t>
            </w:r>
          </w:p>
        </w:tc>
        <w:tc>
          <w:tcPr>
            <w:tcW w:w="68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20" w:firstLine="24"/>
              <w:spacing w:line="24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国家自然基金，热带河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口固液悬浮体系中钯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P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d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4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相间分配及其模拟，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2023.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1-2026.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12,33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万，在研；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Environment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》</w:t>
            </w:r>
          </w:p>
          <w:p>
            <w:pPr>
              <w:ind w:left="6" w:right="35" w:firstLine="18"/>
              <w:spacing w:line="25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发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论文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Occurrence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cross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interface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transfer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phthalate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esters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mangrove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wet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Dongzhai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Harbor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一区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TOP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;</w:t>
            </w:r>
          </w:p>
          <w:p>
            <w:pPr>
              <w:ind w:left="4" w:right="4" w:firstLine="16"/>
              <w:spacing w:before="2" w:line="25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Chemosphere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effect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rainfall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runoff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phase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partition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palladium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receiving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water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bodies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underlying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influential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mechanism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二区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TOP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)</w:t>
            </w:r>
          </w:p>
        </w:tc>
      </w:tr>
      <w:tr>
        <w:trPr>
          <w:trHeight w:val="3357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82" w:right="58" w:hanging="42"/>
              <w:spacing w:before="75" w:line="25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青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骨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干</w:t>
            </w:r>
          </w:p>
        </w:tc>
        <w:tc>
          <w:tcPr>
            <w:tcW w:w="39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8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67"/>
              <w:spacing w:before="75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志忠</w:t>
            </w:r>
          </w:p>
        </w:tc>
        <w:tc>
          <w:tcPr>
            <w:tcW w:w="39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8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58</w:t>
            </w:r>
          </w:p>
        </w:tc>
        <w:tc>
          <w:tcPr>
            <w:tcW w:w="6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2" w:right="80" w:firstLine="17"/>
              <w:spacing w:before="43" w:line="247" w:lineRule="auto"/>
              <w:tabs>
                <w:tab w:val="left" w:leader="empty" w:pos="138"/>
              </w:tabs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南省院士创新平台科研专项，海南岛热带雨林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生态系统土壤有机碳累积特征、变化规律及其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境影响研究，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202012-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202312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万，在研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2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Journal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Sediments</w:t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》发表论文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  </w:t>
            </w:r>
            <w:r>
              <w:rPr>
                <w:rFonts w:ascii="FangSong" w:hAnsi="FangSong" w:eastAsia="FangSong" w:cs="FangSong"/>
                <w:sz w:val="23"/>
                <w:szCs w:val="23"/>
                <w:spacing w:val="32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Characteristics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organic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carbon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fractions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under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different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patterns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tropical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area</w:t>
            </w:r>
            <w:r>
              <w:rPr>
                <w:rFonts w:ascii="FangSong" w:hAnsi="FangSong" w:eastAsia="FangSong" w:cs="FangSong"/>
                <w:sz w:val="23"/>
                <w:szCs w:val="23"/>
                <w:spacing w:val="2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ab/>
            </w: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二区)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Polish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Journal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Environment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Studies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Available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heavy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metal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concentrations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their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influencing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factors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cropland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fallows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different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age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tropical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area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四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区)</w:t>
            </w:r>
          </w:p>
        </w:tc>
      </w:tr>
      <w:tr>
        <w:trPr>
          <w:trHeight w:val="1872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35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8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67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从举</w:t>
            </w:r>
          </w:p>
        </w:tc>
        <w:tc>
          <w:tcPr>
            <w:tcW w:w="39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8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54</w:t>
            </w:r>
          </w:p>
        </w:tc>
        <w:tc>
          <w:tcPr>
            <w:tcW w:w="6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7" w:firstLine="12"/>
              <w:spacing w:before="40" w:line="24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南省自然科学基金，施氮肥对热带蕉园土壤根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系呼吸与微生物呼吸的影响研究，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1-2023.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万，在研；在《中国农业资源与区划》发表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“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年海南岛热带农田生态系统碳足迹时空格局演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变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”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；在《农业工程学报》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“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土地整治中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底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泥质耕作层土壤的构建方法及应用效果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”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EI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)</w:t>
            </w:r>
          </w:p>
        </w:tc>
      </w:tr>
      <w:tr>
        <w:trPr>
          <w:trHeight w:val="3324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8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85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39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34</w:t>
            </w:r>
          </w:p>
        </w:tc>
        <w:tc>
          <w:tcPr>
            <w:tcW w:w="68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29" w:right="102" w:hanging="6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究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员</w:t>
            </w:r>
          </w:p>
        </w:tc>
        <w:tc>
          <w:tcPr>
            <w:tcW w:w="5140" w:type="dxa"/>
            <w:vAlign w:val="top"/>
          </w:tcPr>
          <w:p>
            <w:pPr>
              <w:ind w:left="4" w:right="3" w:firstLine="41"/>
              <w:spacing w:before="35" w:line="24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家自然科学基金青年项目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41701267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：生物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质炭对强还原修复退化设施菜地土壤过程中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NO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7"/>
                <w:position w:val="-1"/>
              </w:rPr>
              <w:t>3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6"/>
                <w:position w:val="8"/>
              </w:rPr>
              <w:t>-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position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去向影响及调控机制。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2018.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1-2020.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主持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Biology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Biochemistry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Rapid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recovery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nitrogen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retention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capacity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subtropical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acidic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following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afforestation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一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Environment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》发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论文</w:t>
            </w:r>
          </w:p>
          <w:p>
            <w:pPr>
              <w:ind w:right="217" w:firstLine="6"/>
              <w:spacing w:before="1" w:line="25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Biochar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stimulates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NH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31"/>
                <w:position w:val="-1"/>
              </w:rPr>
              <w:t>4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31"/>
                <w:position w:val="7"/>
              </w:rPr>
              <w:t>+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31"/>
                <w:position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turnover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while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decreasing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NO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24"/>
                <w:position w:val="-1"/>
              </w:rPr>
              <w:t>3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22"/>
                <w:position w:val="7"/>
              </w:rPr>
              <w:t>−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22"/>
                <w:position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production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22"/>
                <w:position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emissions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under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long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term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vegetable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cultivation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二区)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6" w:h="16839"/>
          <w:pgMar w:top="400" w:right="1327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8742" w:type="dxa"/>
        <w:tblInd w:w="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9"/>
        <w:gridCol w:w="600"/>
        <w:gridCol w:w="390"/>
        <w:gridCol w:w="824"/>
        <w:gridCol w:w="390"/>
        <w:gridCol w:w="689"/>
        <w:gridCol w:w="5140"/>
      </w:tblGrid>
      <w:tr>
        <w:trPr>
          <w:trHeight w:val="2499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3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4</w:t>
            </w:r>
          </w:p>
        </w:tc>
        <w:tc>
          <w:tcPr>
            <w:tcW w:w="8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来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文立</w:t>
            </w:r>
          </w:p>
        </w:tc>
        <w:tc>
          <w:tcPr>
            <w:tcW w:w="39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34</w:t>
            </w:r>
          </w:p>
        </w:tc>
        <w:tc>
          <w:tcPr>
            <w:tcW w:w="68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236" w:right="102" w:hanging="113"/>
              <w:spacing w:before="7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教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授</w:t>
            </w:r>
          </w:p>
        </w:tc>
        <w:tc>
          <w:tcPr>
            <w:tcW w:w="5140" w:type="dxa"/>
            <w:vAlign w:val="top"/>
          </w:tcPr>
          <w:p>
            <w:pPr>
              <w:ind w:left="14" w:right="3" w:firstLine="5"/>
              <w:spacing w:before="37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bookmarkStart w:name="_bookmark11" w:id="9"/>
            <w:bookmarkEnd w:id="9"/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南省自然科学基金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419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215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，气候变化背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景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下海南岛热舒适度时空演变机制与未来变化趋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势研究，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019.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1-2021.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，在研；海南省自然科学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基金高层次人才项目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601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，典型湿热区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分类人群热舒适度差异研究，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2-2023.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，在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Theoretical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Applied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Climatology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》发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6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22"/>
              </w:rPr>
              <w:t>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Detecting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spatial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differences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thermal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stress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across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三区)</w:t>
            </w:r>
          </w:p>
        </w:tc>
      </w:tr>
      <w:tr>
        <w:trPr>
          <w:trHeight w:val="3011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42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82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77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陈海燕</w:t>
            </w:r>
          </w:p>
        </w:tc>
        <w:tc>
          <w:tcPr>
            <w:tcW w:w="39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  <w:tc>
          <w:tcPr>
            <w:tcW w:w="68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7" w:firstLine="12"/>
              <w:spacing w:before="40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南省自然科学基金，气候变化与人类活动影响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下海南岛滨海湿地时空演变特征与机制研究，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012-202312,5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万，在研；在《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Global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Planetary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Change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Quantifying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contributions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snow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>/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glacier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meltwater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river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runoffs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Tianshan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Mountains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Central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Asia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二区)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5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Hydrological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Processes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Effect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sub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cloud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evaporation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precipitation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Tianshan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Mountains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Central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Asia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>)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under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influence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global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warming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二区)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；</w:t>
            </w:r>
          </w:p>
        </w:tc>
      </w:tr>
      <w:tr>
        <w:trPr>
          <w:trHeight w:val="2486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32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人文</w:t>
            </w:r>
          </w:p>
          <w:p>
            <w:pPr>
              <w:ind w:left="129"/>
              <w:spacing w:before="19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理</w:t>
            </w:r>
          </w:p>
          <w:p>
            <w:pPr>
              <w:ind w:left="258"/>
              <w:spacing w:before="1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学</w:t>
            </w:r>
          </w:p>
        </w:tc>
        <w:tc>
          <w:tcPr>
            <w:tcW w:w="990" w:type="dxa"/>
            <w:vAlign w:val="top"/>
            <w:gridSpan w:val="2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头人</w:t>
            </w:r>
          </w:p>
        </w:tc>
        <w:tc>
          <w:tcPr>
            <w:tcW w:w="8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65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程叶青</w:t>
            </w:r>
          </w:p>
        </w:tc>
        <w:tc>
          <w:tcPr>
            <w:tcW w:w="39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75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47</w:t>
            </w:r>
          </w:p>
        </w:tc>
        <w:tc>
          <w:tcPr>
            <w:tcW w:w="68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6" w:firstLine="13"/>
              <w:spacing w:before="4" w:line="24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9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Chinese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Geographical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》发表学术论文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7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Changing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Rural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Development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Inequality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Jilin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Provinc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Northeast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》(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三区)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;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Journal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Geographical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Sciences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》发表学术论文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      </w:t>
            </w:r>
            <w:r>
              <w:rPr>
                <w:rFonts w:ascii="FangSong" w:hAnsi="FangSong" w:eastAsia="FangSong" w:cs="FangSong"/>
                <w:sz w:val="23"/>
                <w:szCs w:val="23"/>
                <w:spacing w:val="28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Spatiotemporal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Dynamics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Carbon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Intensity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from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Energy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Consumption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四区)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《地理学报》发表学术论文《中国区域创新的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时空动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态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分析》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)</w:t>
            </w:r>
          </w:p>
        </w:tc>
      </w:tr>
      <w:tr>
        <w:trPr>
          <w:trHeight w:val="3423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82" w:right="58" w:hanging="42"/>
              <w:spacing w:before="74" w:line="26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青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骨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干</w:t>
            </w:r>
          </w:p>
        </w:tc>
        <w:tc>
          <w:tcPr>
            <w:tcW w:w="39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8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63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文星</w:t>
            </w:r>
          </w:p>
        </w:tc>
        <w:tc>
          <w:tcPr>
            <w:tcW w:w="39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7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48</w:t>
            </w:r>
          </w:p>
        </w:tc>
        <w:tc>
          <w:tcPr>
            <w:tcW w:w="68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7" w:right="92" w:firstLine="55"/>
              <w:spacing w:before="110" w:line="252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自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贸区建设背景下海口市城乡土地利用转型时空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特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征及机理研究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以江东新区为例，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202012-202312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万，在研；在《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Chinese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Geographical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SPATIAL</w:t>
            </w:r>
          </w:p>
          <w:p>
            <w:pPr>
              <w:ind w:left="6"/>
              <w:spacing w:before="10" w:line="17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DIFFERENTIATION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</w:t>
            </w:r>
          </w:p>
          <w:p>
            <w:pPr>
              <w:ind w:left="9"/>
              <w:spacing w:before="6" w:line="25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TRANSFER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Case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Study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Shanghai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Nanjing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Taizhou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Changjian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River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Delta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》(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;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1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Study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rule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temporal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spatial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variation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formation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mechanism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prices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industrial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Shanghai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Plus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suggestions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planning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distribution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polices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industrial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ISTP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)</w:t>
            </w:r>
          </w:p>
        </w:tc>
      </w:tr>
      <w:tr>
        <w:trPr>
          <w:trHeight w:val="2185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35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824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平</w:t>
            </w:r>
          </w:p>
        </w:tc>
        <w:tc>
          <w:tcPr>
            <w:tcW w:w="39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7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40</w:t>
            </w:r>
          </w:p>
        </w:tc>
        <w:tc>
          <w:tcPr>
            <w:tcW w:w="6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36" w:right="102" w:hanging="113"/>
              <w:spacing w:before="7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教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授</w:t>
            </w:r>
          </w:p>
        </w:tc>
        <w:tc>
          <w:tcPr>
            <w:tcW w:w="5140" w:type="dxa"/>
            <w:vAlign w:val="top"/>
          </w:tcPr>
          <w:p>
            <w:pPr>
              <w:ind w:left="7" w:right="13" w:firstLine="12"/>
              <w:spacing w:before="39" w:line="24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南省自然科学基金项目：旅游驱动型的城乡统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筹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作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用机制研究及绩效评估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以海南为例，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20190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1-202112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万，在研；在《经济地理》发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论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文《海南区域技术创新能力评价与空间差异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性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分析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——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基于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2009-2014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18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个市县面板数据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实证分析》；在《商业时代》发表论文《海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口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市城乡一体化发展的动力机制研究》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4"/>
          <w:pgSz w:w="11906" w:h="16839"/>
          <w:pgMar w:top="400" w:right="1327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8742" w:type="dxa"/>
        <w:tblInd w:w="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9"/>
        <w:gridCol w:w="600"/>
        <w:gridCol w:w="390"/>
        <w:gridCol w:w="824"/>
        <w:gridCol w:w="390"/>
        <w:gridCol w:w="689"/>
        <w:gridCol w:w="5140"/>
      </w:tblGrid>
      <w:tr>
        <w:trPr>
          <w:trHeight w:val="2775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82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69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符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天蓝</w:t>
            </w:r>
          </w:p>
        </w:tc>
        <w:tc>
          <w:tcPr>
            <w:tcW w:w="39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34</w:t>
            </w:r>
          </w:p>
        </w:tc>
        <w:tc>
          <w:tcPr>
            <w:tcW w:w="68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29" w:right="102" w:hanging="6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究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员</w:t>
            </w:r>
          </w:p>
        </w:tc>
        <w:tc>
          <w:tcPr>
            <w:tcW w:w="5140" w:type="dxa"/>
            <w:vAlign w:val="top"/>
          </w:tcPr>
          <w:p>
            <w:pPr>
              <w:ind w:left="6" w:right="5" w:firstLine="39"/>
              <w:spacing w:before="41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国家自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然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科学基金青年项目，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内需驱动下珠三角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工业机器人制造企业生产网络的结构特征与形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成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机制，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202201-202412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万元，在研；在《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Regiona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Studies</w:t>
            </w:r>
            <w:r>
              <w:rPr>
                <w:rFonts w:ascii="FangSong" w:hAnsi="FangSong" w:eastAsia="FangSong" w:cs="FangSong"/>
                <w:sz w:val="23"/>
                <w:szCs w:val="23"/>
                <w:spacing w:val="25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Market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Imperative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Cluster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Evolution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Evidence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from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Shunde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一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Geografiska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Annaler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Series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Human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Geography</w:t>
            </w: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发表《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From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Exports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Sell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Transformation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Export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5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oriented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Furniture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Firms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Pearl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River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Delta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三区)</w:t>
            </w:r>
          </w:p>
        </w:tc>
      </w:tr>
      <w:tr>
        <w:trPr>
          <w:trHeight w:val="1877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3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4</w:t>
            </w:r>
          </w:p>
        </w:tc>
        <w:tc>
          <w:tcPr>
            <w:tcW w:w="8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97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陈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妍</w:t>
            </w:r>
          </w:p>
        </w:tc>
        <w:tc>
          <w:tcPr>
            <w:tcW w:w="39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  <w:tc>
          <w:tcPr>
            <w:tcW w:w="6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17" w:right="3" w:firstLine="2"/>
              <w:spacing w:before="38" w:line="24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《地理研究》发表《东北地区非资源型城市与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资源型城市产业转型的对比研究》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《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地理研究》发表《东北地区资源型城市转型过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程中社会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经济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环境协调演化特征》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在《地理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学》发表《东北地区资源型城市人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口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分布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与影响因素的定量分析》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)</w:t>
            </w:r>
          </w:p>
        </w:tc>
      </w:tr>
      <w:tr>
        <w:trPr>
          <w:trHeight w:val="1907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42"/>
              <w:spacing w:before="67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8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8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马东来</w:t>
            </w:r>
          </w:p>
        </w:tc>
        <w:tc>
          <w:tcPr>
            <w:tcW w:w="39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36</w:t>
            </w:r>
          </w:p>
        </w:tc>
        <w:tc>
          <w:tcPr>
            <w:tcW w:w="68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14" w:firstLine="6"/>
              <w:spacing w:before="50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海南省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自然科学基金青年基金，土地利用变化背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景下城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市内涝风险演变及预警研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202112-202409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万元，在研；在《国际城市规划》发表论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《新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西兰城市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防震综合减灾规划及启示》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在《中国农业资源与区划》发表论文《辽宁省植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被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NDVI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对气候因子的滞后响应研究》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CSSCI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)</w:t>
            </w:r>
          </w:p>
        </w:tc>
      </w:tr>
      <w:tr>
        <w:trPr>
          <w:trHeight w:val="2735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28" w:right="111"/>
              <w:spacing w:before="75" w:line="25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学与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地理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信息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系统</w:t>
            </w:r>
          </w:p>
        </w:tc>
        <w:tc>
          <w:tcPr>
            <w:tcW w:w="990" w:type="dxa"/>
            <w:vAlign w:val="top"/>
            <w:gridSpan w:val="2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头人</w:t>
            </w:r>
          </w:p>
        </w:tc>
        <w:tc>
          <w:tcPr>
            <w:tcW w:w="82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66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39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7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45</w:t>
            </w:r>
          </w:p>
        </w:tc>
        <w:tc>
          <w:tcPr>
            <w:tcW w:w="68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36" w:right="102" w:hanging="113"/>
              <w:spacing w:before="7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副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教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授</w:t>
            </w:r>
          </w:p>
        </w:tc>
        <w:tc>
          <w:tcPr>
            <w:tcW w:w="5140" w:type="dxa"/>
            <w:vAlign w:val="top"/>
          </w:tcPr>
          <w:p>
            <w:pPr>
              <w:ind w:left="4" w:firstLine="41"/>
              <w:spacing w:before="36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家自然科学基金，海南自贸港城乡公共医疗服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务均等化及其空间响应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2023.01-2026.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12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万，在研；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国家自然科学基金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，热带海岛城市居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民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慢行出行对土地利用的响应及碳减排机理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以海口市为例，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2018.01-2021.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38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万，已结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项；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PLOS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ONE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Influences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COVID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19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epidemic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response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strategies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residents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>’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psychological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state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survey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from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Hainan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Island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三区)</w:t>
            </w:r>
          </w:p>
        </w:tc>
      </w:tr>
      <w:tr>
        <w:trPr>
          <w:trHeight w:val="1560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82" w:right="58" w:hanging="42"/>
              <w:spacing w:before="75" w:line="26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青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骨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干</w:t>
            </w:r>
          </w:p>
        </w:tc>
        <w:tc>
          <w:tcPr>
            <w:tcW w:w="39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82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6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谢跟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踪</w:t>
            </w:r>
          </w:p>
        </w:tc>
        <w:tc>
          <w:tcPr>
            <w:tcW w:w="39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8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54</w:t>
            </w:r>
          </w:p>
        </w:tc>
        <w:tc>
          <w:tcPr>
            <w:tcW w:w="68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19" w:right="6"/>
              <w:spacing w:before="40" w:line="24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在《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生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态学报》上发表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“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海口市海岸带近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年土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利用变化的景观生态风险评价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”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CSCD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；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“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口市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海岸带生态网络演变趋势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”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  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CSCD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；</w:t>
            </w:r>
          </w:p>
          <w:p>
            <w:pPr>
              <w:ind w:left="63" w:right="166" w:hanging="63"/>
              <w:spacing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“1964—2015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年海南省八门湾红树林湿地及其周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边土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地景观动态分析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”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  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CSCD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)</w:t>
            </w:r>
          </w:p>
        </w:tc>
      </w:tr>
      <w:tr>
        <w:trPr>
          <w:trHeight w:val="3014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35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82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65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邱彭华</w:t>
            </w:r>
          </w:p>
        </w:tc>
        <w:tc>
          <w:tcPr>
            <w:tcW w:w="39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8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50</w:t>
            </w:r>
          </w:p>
        </w:tc>
        <w:tc>
          <w:tcPr>
            <w:tcW w:w="68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教授</w:t>
            </w:r>
          </w:p>
        </w:tc>
        <w:tc>
          <w:tcPr>
            <w:tcW w:w="5140" w:type="dxa"/>
            <w:vAlign w:val="top"/>
          </w:tcPr>
          <w:p>
            <w:pPr>
              <w:ind w:left="7" w:right="73" w:firstLine="38"/>
              <w:spacing w:before="38" w:line="25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国家自然科学基金：基于保护成效分析的海南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红树林生态系统可持续管护战略研究，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2021.01-2024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万元；海南省院士创新平台</w:t>
            </w:r>
          </w:p>
          <w:p>
            <w:pPr>
              <w:ind w:left="8" w:right="6" w:firstLine="10"/>
              <w:spacing w:before="4" w:line="24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研专项：基于环境梯度的红树林湿地蓝碳精细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评估研究，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2021.05-2024.05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，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万；在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Advances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Research</w:t>
            </w: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》发表论文：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Mapping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mangrove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species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combined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UAV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LiDAR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Sentinel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>-2</w:t>
            </w:r>
          </w:p>
          <w:p>
            <w:pPr>
              <w:ind w:left="10" w:right="469"/>
              <w:spacing w:line="252" w:lineRule="auto"/>
              <w:tabs>
                <w:tab w:val="left" w:leader="empty" w:pos="138"/>
              </w:tabs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data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Feature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selection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point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density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effects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>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https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>:/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/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doi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org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/10.1016/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asr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.2021.11.020.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ab/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三区)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5"/>
          <w:pgSz w:w="11906" w:h="16839"/>
          <w:pgMar w:top="400" w:right="1327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8742" w:type="dxa"/>
        <w:tblInd w:w="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09"/>
        <w:gridCol w:w="600"/>
        <w:gridCol w:w="390"/>
        <w:gridCol w:w="824"/>
        <w:gridCol w:w="390"/>
        <w:gridCol w:w="689"/>
        <w:gridCol w:w="5140"/>
      </w:tblGrid>
      <w:tr>
        <w:trPr>
          <w:trHeight w:val="3947" w:hRule="atLeast"/>
        </w:trPr>
        <w:tc>
          <w:tcPr>
            <w:tcW w:w="7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8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6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云霞</w:t>
            </w:r>
          </w:p>
        </w:tc>
        <w:tc>
          <w:tcPr>
            <w:tcW w:w="39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37</w:t>
            </w:r>
          </w:p>
        </w:tc>
        <w:tc>
          <w:tcPr>
            <w:tcW w:w="68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3" w:right="49" w:firstLine="16"/>
              <w:spacing w:before="5" w:line="250" w:lineRule="auto"/>
              <w:tabs>
                <w:tab w:val="left" w:leader="empty" w:pos="138"/>
              </w:tabs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Environment</w:t>
            </w: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》发表论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0"/>
              </w:rPr>
              <w:t>《</w:t>
            </w:r>
            <w:r>
              <w:rPr>
                <w:rFonts w:ascii="FangSong" w:hAnsi="FangSong" w:eastAsia="FangSong" w:cs="FangSong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suspended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solids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characterization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management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implications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lakes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East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27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ab/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二区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TOP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IEEE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Journal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Selected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Topics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Applied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Earth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Observations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Remote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Sensing</w:t>
            </w:r>
            <w:r>
              <w:rPr>
                <w:rFonts w:ascii="FangSong" w:hAnsi="FangSong" w:eastAsia="FangSong" w:cs="FangSong"/>
                <w:sz w:val="23"/>
                <w:szCs w:val="23"/>
                <w:spacing w:val="24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21"/>
              </w:rPr>
              <w:t>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Remote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Sensing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Understand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Suspended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Matter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Dynamics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Lakes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Across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Inner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Mongolia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三区)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；在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8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Journal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Environmental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Management</w:t>
            </w:r>
            <w:r>
              <w:rPr>
                <w:rFonts w:ascii="FangSong" w:hAnsi="FangSong" w:eastAsia="FangSong" w:cs="FangSong"/>
                <w:sz w:val="23"/>
                <w:szCs w:val="23"/>
                <w:spacing w:val="28"/>
              </w:rPr>
              <w:t>》发</w:t>
            </w:r>
            <w:r>
              <w:rPr>
                <w:rFonts w:ascii="FangSong" w:hAnsi="FangSong" w:eastAsia="FangSong" w:cs="FangSong"/>
                <w:sz w:val="23"/>
                <w:szCs w:val="23"/>
                <w:spacing w:val="27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</w:t>
            </w:r>
            <w:r>
              <w:rPr>
                <w:rFonts w:ascii="FangSong" w:hAnsi="FangSong" w:eastAsia="FangSong" w:cs="FangSong"/>
                <w:sz w:val="23"/>
                <w:szCs w:val="23"/>
                <w:spacing w:val="28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Quantifying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total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suspended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matter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TSM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>)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waters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using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Landsat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images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during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>1984–2018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across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Songnen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Plain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Northeast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二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TOP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)</w:t>
            </w:r>
          </w:p>
        </w:tc>
      </w:tr>
      <w:tr>
        <w:trPr>
          <w:trHeight w:val="2424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3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4</w:t>
            </w:r>
          </w:p>
        </w:tc>
        <w:tc>
          <w:tcPr>
            <w:tcW w:w="8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87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宋勤</w:t>
            </w:r>
          </w:p>
        </w:tc>
        <w:tc>
          <w:tcPr>
            <w:tcW w:w="39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31</w:t>
            </w:r>
          </w:p>
        </w:tc>
        <w:tc>
          <w:tcPr>
            <w:tcW w:w="68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4" w:right="3" w:firstLine="16"/>
              <w:spacing w:before="4" w:line="250" w:lineRule="auto"/>
              <w:tabs>
                <w:tab w:val="left" w:leader="empty" w:pos="138"/>
              </w:tabs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3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Geomatics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Natural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Hazards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Risk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》发表论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4"/>
              </w:rPr>
              <w:t>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Spatial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distribution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dunes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their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relationship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with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fluvial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systems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southern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margin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Taklimakan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Desert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.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区)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；在《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Aeolian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Research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Cultivation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impacts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soil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texture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during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oasis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expansion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xinjiang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northwest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>: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wind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erosion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effects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>.</w:t>
            </w:r>
            <w:r>
              <w:rPr>
                <w:rFonts w:ascii="FangSong" w:hAnsi="FangSong" w:eastAsia="FangSong" w:cs="FangSong"/>
                <w:sz w:val="23"/>
                <w:szCs w:val="23"/>
                <w:spacing w:val="21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ab/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三区)</w:t>
            </w:r>
          </w:p>
        </w:tc>
      </w:tr>
      <w:tr>
        <w:trPr>
          <w:trHeight w:val="2392" w:hRule="atLeast"/>
        </w:trPr>
        <w:tc>
          <w:tcPr>
            <w:tcW w:w="7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42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8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晓静</w:t>
            </w:r>
          </w:p>
        </w:tc>
        <w:tc>
          <w:tcPr>
            <w:tcW w:w="39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38</w:t>
            </w:r>
          </w:p>
        </w:tc>
        <w:tc>
          <w:tcPr>
            <w:tcW w:w="68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讲师</w:t>
            </w:r>
          </w:p>
        </w:tc>
        <w:tc>
          <w:tcPr>
            <w:tcW w:w="5140" w:type="dxa"/>
            <w:vAlign w:val="top"/>
          </w:tcPr>
          <w:p>
            <w:pPr>
              <w:ind w:left="4" w:firstLine="16"/>
              <w:spacing w:before="8" w:line="25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Natural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Hazards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》发表论文《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Dynamic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risk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assessment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drought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disaster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maize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based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integrating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multi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>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sources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data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region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northw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est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Liaoning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Province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,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China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》(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三区)；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在《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Recent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Advances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Computer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Information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Engineering</w:t>
            </w:r>
            <w:r>
              <w:rPr>
                <w:rFonts w:ascii="FangSong" w:hAnsi="FangSong" w:eastAsia="FangSong" w:cs="FangSong"/>
                <w:sz w:val="23"/>
                <w:szCs w:val="23"/>
                <w:spacing w:val="19"/>
              </w:rPr>
              <w:t>》发表论文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《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Recent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Advances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Computer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Science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Information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Engineering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》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EI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)</w:t>
            </w:r>
          </w:p>
        </w:tc>
      </w:tr>
    </w:tbl>
    <w:p>
      <w:pPr>
        <w:spacing w:line="260" w:lineRule="auto"/>
        <w:rPr>
          <w:rFonts w:ascii="Arial"/>
          <w:sz w:val="21"/>
        </w:rPr>
      </w:pPr>
      <w:r/>
    </w:p>
    <w:p>
      <w:pPr>
        <w:ind w:left="589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二)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课程教学</w:t>
      </w:r>
    </w:p>
    <w:p>
      <w:pPr>
        <w:ind w:left="603"/>
        <w:spacing w:before="21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2"/>
        </w:rPr>
        <w:t>学位点开设的核心</w:t>
      </w:r>
      <w:r>
        <w:rPr>
          <w:rFonts w:ascii="FangSong" w:hAnsi="FangSong" w:eastAsia="FangSong" w:cs="FangSong"/>
          <w:sz w:val="28"/>
          <w:szCs w:val="28"/>
          <w:spacing w:val="1"/>
        </w:rPr>
        <w:t>课程及主讲教师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(见表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5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</w:p>
    <w:p>
      <w:pPr>
        <w:ind w:left="2355"/>
        <w:spacing w:before="199" w:line="230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5"/>
        </w:rPr>
        <w:t>表</w:t>
      </w:r>
      <w:r>
        <w:rPr>
          <w:rFonts w:ascii="FangSong" w:hAnsi="FangSong" w:eastAsia="FangSong" w:cs="FangSong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5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5"/>
        </w:rPr>
        <w:t>学位点开设的核心课程及主讲教</w:t>
      </w:r>
      <w:r>
        <w:rPr>
          <w:rFonts w:ascii="FangSong" w:hAnsi="FangSong" w:eastAsia="FangSong" w:cs="FangSong"/>
          <w:sz w:val="23"/>
          <w:szCs w:val="23"/>
          <w:spacing w:val="2"/>
        </w:rPr>
        <w:t>师</w:t>
      </w:r>
    </w:p>
    <w:p>
      <w:pPr>
        <w:spacing w:line="146" w:lineRule="exact"/>
        <w:rPr/>
      </w:pPr>
      <w:r/>
    </w:p>
    <w:tbl>
      <w:tblPr>
        <w:tblStyle w:val="2"/>
        <w:tblW w:w="8721" w:type="dxa"/>
        <w:tblInd w:w="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6"/>
        <w:gridCol w:w="1120"/>
        <w:gridCol w:w="1019"/>
        <w:gridCol w:w="585"/>
        <w:gridCol w:w="1049"/>
        <w:gridCol w:w="4382"/>
      </w:tblGrid>
      <w:tr>
        <w:trPr>
          <w:trHeight w:val="660" w:hRule="atLeast"/>
        </w:trPr>
        <w:tc>
          <w:tcPr>
            <w:tcW w:w="566" w:type="dxa"/>
            <w:vAlign w:val="top"/>
          </w:tcPr>
          <w:p>
            <w:pPr>
              <w:ind w:left="54"/>
              <w:spacing w:before="20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序号</w:t>
            </w:r>
          </w:p>
        </w:tc>
        <w:tc>
          <w:tcPr>
            <w:tcW w:w="1120" w:type="dxa"/>
            <w:vAlign w:val="top"/>
          </w:tcPr>
          <w:p>
            <w:pPr>
              <w:ind w:left="91"/>
              <w:spacing w:before="210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课程名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称</w:t>
            </w:r>
          </w:p>
        </w:tc>
        <w:tc>
          <w:tcPr>
            <w:tcW w:w="1019" w:type="dxa"/>
            <w:vAlign w:val="top"/>
          </w:tcPr>
          <w:p>
            <w:pPr>
              <w:ind w:left="42"/>
              <w:spacing w:before="209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课程类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型</w:t>
            </w:r>
          </w:p>
        </w:tc>
        <w:tc>
          <w:tcPr>
            <w:tcW w:w="585" w:type="dxa"/>
            <w:vAlign w:val="top"/>
          </w:tcPr>
          <w:p>
            <w:pPr>
              <w:ind w:left="74"/>
              <w:spacing w:before="2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分</w:t>
            </w:r>
          </w:p>
        </w:tc>
        <w:tc>
          <w:tcPr>
            <w:tcW w:w="1049" w:type="dxa"/>
            <w:vAlign w:val="top"/>
          </w:tcPr>
          <w:p>
            <w:pPr>
              <w:ind w:left="57"/>
              <w:spacing w:before="209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授课教师</w:t>
            </w:r>
          </w:p>
        </w:tc>
        <w:tc>
          <w:tcPr>
            <w:tcW w:w="4382" w:type="dxa"/>
            <w:vAlign w:val="top"/>
          </w:tcPr>
          <w:p>
            <w:pPr>
              <w:ind w:left="1723"/>
              <w:spacing w:before="54" w:line="309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  <w:position w:val="4"/>
              </w:rPr>
              <w:t>课程简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4"/>
              </w:rPr>
              <w:t>介</w:t>
            </w:r>
          </w:p>
          <w:p>
            <w:pPr>
              <w:ind w:left="1209"/>
              <w:spacing w:before="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0"/>
              </w:rPr>
              <w:t>(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不超过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100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字)</w:t>
            </w:r>
          </w:p>
        </w:tc>
      </w:tr>
      <w:tr>
        <w:trPr>
          <w:trHeight w:val="2494" w:hRule="atLeast"/>
        </w:trPr>
        <w:tc>
          <w:tcPr>
            <w:tcW w:w="56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46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11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31" w:right="79" w:hanging="240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地球系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学</w:t>
            </w:r>
          </w:p>
        </w:tc>
        <w:tc>
          <w:tcPr>
            <w:tcW w:w="101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4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业必修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3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0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志忠</w:t>
            </w:r>
          </w:p>
        </w:tc>
        <w:tc>
          <w:tcPr>
            <w:tcW w:w="4382" w:type="dxa"/>
            <w:vAlign w:val="top"/>
          </w:tcPr>
          <w:p>
            <w:pPr>
              <w:ind w:left="18"/>
              <w:spacing w:before="32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本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课程为地理学硕士研究生专业核心课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程。主要向学生介绍地球系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统科学的形成、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发展及其基本概念、基本理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论和基本方法，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以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全球性、统一性的整体观和系统观，从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多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时空尺度介绍地表过程的整体行为，使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学生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全面了解地球系统科学在全球变化、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生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态环境演变、资源开发、土地利用、灾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害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防治等方面的成果与应用。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6"/>
          <w:pgSz w:w="11906" w:h="16839"/>
          <w:pgMar w:top="400" w:right="1327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8721" w:type="dxa"/>
        <w:tblInd w:w="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6"/>
        <w:gridCol w:w="1120"/>
        <w:gridCol w:w="1019"/>
        <w:gridCol w:w="585"/>
        <w:gridCol w:w="1049"/>
        <w:gridCol w:w="4382"/>
      </w:tblGrid>
      <w:tr>
        <w:trPr>
          <w:trHeight w:val="2156" w:hRule="atLeast"/>
        </w:trPr>
        <w:tc>
          <w:tcPr>
            <w:tcW w:w="56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2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1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11" w:right="79" w:hanging="121"/>
              <w:spacing w:before="74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现代人文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理学</w:t>
            </w:r>
          </w:p>
        </w:tc>
        <w:tc>
          <w:tcPr>
            <w:tcW w:w="101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业必修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3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0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79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程叶青</w:t>
            </w:r>
          </w:p>
        </w:tc>
        <w:tc>
          <w:tcPr>
            <w:tcW w:w="4382" w:type="dxa"/>
            <w:vAlign w:val="top"/>
          </w:tcPr>
          <w:p>
            <w:pPr>
              <w:ind w:left="18" w:right="54"/>
              <w:spacing w:before="174" w:line="25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于人文地理学学科前沿科学问题，服务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于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国民经济建设实践的现实需求，阐释现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代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人文地理学基本理论、方法论及主要研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究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进展，要求研究生掌握现代人文地理学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论知识和研究方法，培养人文地理学实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践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应用能力和综合素养。</w:t>
            </w:r>
          </w:p>
        </w:tc>
      </w:tr>
      <w:tr>
        <w:trPr>
          <w:trHeight w:val="2632" w:hRule="atLeast"/>
        </w:trPr>
        <w:tc>
          <w:tcPr>
            <w:tcW w:w="566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22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1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330" w:right="7" w:hanging="321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GIS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前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沿与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应用</w:t>
            </w:r>
          </w:p>
        </w:tc>
        <w:tc>
          <w:tcPr>
            <w:tcW w:w="101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业必修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23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0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洁华</w:t>
            </w:r>
          </w:p>
        </w:tc>
        <w:tc>
          <w:tcPr>
            <w:tcW w:w="4382" w:type="dxa"/>
            <w:vAlign w:val="top"/>
          </w:tcPr>
          <w:p>
            <w:pPr>
              <w:ind w:left="17" w:right="9" w:firstLine="2"/>
              <w:spacing w:before="257" w:line="25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理学专业硕士专业核心课程。通过本课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程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的学习，可以使学生了解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GIS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的基本概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念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、基本原理和基本方法，并掌握利用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GIS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进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行地理问题的空间分析，如土地适宜性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评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价、建筑容积率计算、三维建模、景观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视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域分析、交通可达性分析等，为其他学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学习以及科研工作打下良好的基础。</w:t>
            </w:r>
          </w:p>
        </w:tc>
      </w:tr>
      <w:tr>
        <w:trPr>
          <w:trHeight w:val="4049" w:hRule="atLeast"/>
        </w:trPr>
        <w:tc>
          <w:tcPr>
            <w:tcW w:w="56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22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11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95" w:right="79" w:hanging="5"/>
              <w:spacing w:before="74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现代地理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统计技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术</w:t>
            </w:r>
          </w:p>
        </w:tc>
        <w:tc>
          <w:tcPr>
            <w:tcW w:w="101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4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业必修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3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0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83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袁建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平</w:t>
            </w:r>
          </w:p>
        </w:tc>
        <w:tc>
          <w:tcPr>
            <w:tcW w:w="4382" w:type="dxa"/>
            <w:vAlign w:val="top"/>
          </w:tcPr>
          <w:p>
            <w:pPr>
              <w:ind w:left="4" w:firstLine="20"/>
              <w:spacing w:before="32" w:line="24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主要运用现代统计学方法和计算机应用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技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术，通过建立地理模型，定量地分析地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要素之间的相互关系，模拟地理系统的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空演化过程，从而为人地关系的优化调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控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提供科学依据。通过学习本课程，使学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掌握地理学的常用统计建模和定量分析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法；培养学生运用现代地理学统计技术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方法分析和解决实际问题的能力。本课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讲授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主要内容包括：地理数据及其预处理、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地理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学中的经典统计分析、空间统计分析、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线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性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规划与多目标规划、投入产出分析、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AHP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决策分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析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、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随机型决策分析、地理网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分析等。</w:t>
            </w:r>
          </w:p>
        </w:tc>
      </w:tr>
      <w:tr>
        <w:trPr>
          <w:trHeight w:val="1872" w:hRule="atLeast"/>
        </w:trPr>
        <w:tc>
          <w:tcPr>
            <w:tcW w:w="56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11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61" w:right="79" w:hanging="370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环境生态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学</w:t>
            </w:r>
          </w:p>
        </w:tc>
        <w:tc>
          <w:tcPr>
            <w:tcW w:w="101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4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从举</w:t>
            </w:r>
          </w:p>
        </w:tc>
        <w:tc>
          <w:tcPr>
            <w:tcW w:w="4382" w:type="dxa"/>
            <w:vAlign w:val="top"/>
          </w:tcPr>
          <w:p>
            <w:pPr>
              <w:ind w:left="18" w:right="54" w:firstLine="25"/>
              <w:spacing w:before="40" w:line="24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以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生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态学的基本原理为理论基础，研究人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为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干扰下，生态系统内在的变化机理、规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律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，阐明人与环境间的相互作用及解决环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境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问题的生态途径，并介绍环境生态学领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域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的前沿动态与最新成果以及在生态文明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建设中实践案例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。</w:t>
            </w:r>
          </w:p>
        </w:tc>
      </w:tr>
      <w:tr>
        <w:trPr>
          <w:trHeight w:val="3119" w:hRule="atLeast"/>
        </w:trPr>
        <w:tc>
          <w:tcPr>
            <w:tcW w:w="56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11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2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遥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感地学</w:t>
            </w:r>
          </w:p>
          <w:p>
            <w:pPr>
              <w:ind w:left="93"/>
              <w:spacing w:before="23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分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析与应</w:t>
            </w:r>
          </w:p>
          <w:p>
            <w:pPr>
              <w:ind w:left="451"/>
              <w:spacing w:before="23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用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4382" w:type="dxa"/>
            <w:vAlign w:val="top"/>
          </w:tcPr>
          <w:p>
            <w:pPr>
              <w:ind w:left="18" w:right="54" w:firstLine="1"/>
              <w:spacing w:before="41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本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课程为地图学与地理信息系统专业硕士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究生的一门专业选修课，也可作为地理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、生态学、地质学、海洋科学及大气科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等其它相关专业研究生的选修课。本课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程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从遥感的波谱测试原理、基本成像原理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和辐射传输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过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程出发，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以地学的相关专业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为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基础，系统讲授遥感在地理学等领域的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用和分析方法。通过教学使学生系统掌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握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遥感应用研究的工作程序与方法，并了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解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遥感在相关领域应用的新进展。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7"/>
          <w:pgSz w:w="11906" w:h="16839"/>
          <w:pgMar w:top="400" w:right="1387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8721" w:type="dxa"/>
        <w:tblInd w:w="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6"/>
        <w:gridCol w:w="1120"/>
        <w:gridCol w:w="1019"/>
        <w:gridCol w:w="585"/>
        <w:gridCol w:w="1049"/>
        <w:gridCol w:w="4382"/>
      </w:tblGrid>
      <w:tr>
        <w:trPr>
          <w:trHeight w:val="1877" w:hRule="atLeast"/>
        </w:trPr>
        <w:tc>
          <w:tcPr>
            <w:tcW w:w="56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11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3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bookmarkStart w:name="_bookmark12" w:id="10"/>
            <w:bookmarkEnd w:id="10"/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自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然资源</w:t>
            </w:r>
          </w:p>
          <w:p>
            <w:pPr>
              <w:ind w:left="100"/>
              <w:spacing w:before="2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与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可持续</w:t>
            </w:r>
          </w:p>
          <w:p>
            <w:pPr>
              <w:ind w:left="337"/>
              <w:spacing w:before="24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发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展</w:t>
            </w:r>
          </w:p>
        </w:tc>
        <w:tc>
          <w:tcPr>
            <w:tcW w:w="101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78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  <w:tc>
          <w:tcPr>
            <w:tcW w:w="4382" w:type="dxa"/>
            <w:vAlign w:val="top"/>
          </w:tcPr>
          <w:p>
            <w:pPr>
              <w:ind w:left="18" w:right="54"/>
              <w:spacing w:before="38" w:line="24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课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程较为全面地阐述了人类社会目前面临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主要资源与环境问题，介绍了可持续发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展战略的由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来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和实质，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以及可持续发展战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略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的思想基础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环境伦理观的主要内容及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其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对人类行为方式的重大影响，并着重论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述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了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实施可持续发展战略的手段和措施。</w:t>
            </w:r>
          </w:p>
        </w:tc>
      </w:tr>
      <w:tr>
        <w:trPr>
          <w:trHeight w:val="2494" w:hRule="atLeast"/>
        </w:trPr>
        <w:tc>
          <w:tcPr>
            <w:tcW w:w="566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11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9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业英语</w:t>
            </w:r>
          </w:p>
        </w:tc>
        <w:tc>
          <w:tcPr>
            <w:tcW w:w="101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77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林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文诗</w:t>
            </w:r>
          </w:p>
        </w:tc>
        <w:tc>
          <w:tcPr>
            <w:tcW w:w="4382" w:type="dxa"/>
            <w:vAlign w:val="top"/>
          </w:tcPr>
          <w:p>
            <w:pPr>
              <w:ind w:left="19" w:right="54" w:firstLine="5"/>
              <w:spacing w:before="32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要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讲述地理学专业的英文科技论文写作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基本架构与内容。介绍英文科技论文写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作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的基本规范，讲授英文科技论文的基本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写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作方法、逻辑架构、写作技巧与投稿。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使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学生初步掌握从论文选题到发表的一系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列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科技论文写作的流程，提升科研素质和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综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合科研能力，为后续的学位论文和学术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论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文打下坚实的基础。</w:t>
            </w:r>
          </w:p>
        </w:tc>
      </w:tr>
      <w:tr>
        <w:trPr>
          <w:trHeight w:val="1871" w:hRule="atLeast"/>
        </w:trPr>
        <w:tc>
          <w:tcPr>
            <w:tcW w:w="56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2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11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460" w:right="79" w:hanging="366"/>
              <w:spacing w:before="7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人居环境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学</w:t>
            </w:r>
          </w:p>
        </w:tc>
        <w:tc>
          <w:tcPr>
            <w:tcW w:w="101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77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文星</w:t>
            </w:r>
          </w:p>
        </w:tc>
        <w:tc>
          <w:tcPr>
            <w:tcW w:w="4382" w:type="dxa"/>
            <w:vAlign w:val="top"/>
          </w:tcPr>
          <w:p>
            <w:pPr>
              <w:ind w:left="18"/>
              <w:spacing w:before="39" w:line="24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依据吴良镛院士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“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人居环境科学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”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理念，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养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学生对自然生态、城市环境、建筑空间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的理解能力，提升学生对人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文精神的领悟、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对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保护生态环境的自觉性，对城市与建筑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评论能力，以及营造美好家园、绿色城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市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的想象力。</w:t>
            </w:r>
          </w:p>
        </w:tc>
      </w:tr>
      <w:tr>
        <w:trPr>
          <w:trHeight w:val="2811" w:hRule="atLeast"/>
        </w:trPr>
        <w:tc>
          <w:tcPr>
            <w:tcW w:w="56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8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  <w:tc>
          <w:tcPr>
            <w:tcW w:w="11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区域发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展</w:t>
            </w:r>
          </w:p>
          <w:p>
            <w:pPr>
              <w:ind w:left="92"/>
              <w:spacing w:before="2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论与实</w:t>
            </w:r>
          </w:p>
          <w:p>
            <w:pPr>
              <w:ind w:left="450"/>
              <w:spacing w:before="22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践</w:t>
            </w:r>
          </w:p>
        </w:tc>
        <w:tc>
          <w:tcPr>
            <w:tcW w:w="101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97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杜娜</w:t>
            </w:r>
          </w:p>
        </w:tc>
        <w:tc>
          <w:tcPr>
            <w:tcW w:w="4382" w:type="dxa"/>
            <w:vAlign w:val="top"/>
          </w:tcPr>
          <w:p>
            <w:pPr>
              <w:ind w:left="18" w:right="3" w:firstLine="1"/>
              <w:spacing w:before="41" w:line="24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课程适用于地理学硕士研究生，是该学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的本一门必修课。课程以专题的形式进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行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教学，梳理区域发展相关理论，探讨区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发展的实践案例，并通过案例分析和讨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等理论与实际相结合的教学手段，有重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地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从经济空间、城镇发展、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区域环境、经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9"/>
              </w:rPr>
              <w:t>济</w:t>
            </w:r>
            <w:r>
              <w:rPr>
                <w:rFonts w:ascii="FangSong" w:hAnsi="FangSong" w:eastAsia="FangSong" w:cs="FangSong"/>
                <w:sz w:val="23"/>
                <w:szCs w:val="23"/>
                <w:spacing w:val="26"/>
              </w:rPr>
              <w:t>全球化等方面介绍区域发展的理论内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容、应用及方法，提高学生对区域发展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论、政策等相关知识的认识水平。</w:t>
            </w:r>
          </w:p>
        </w:tc>
      </w:tr>
      <w:tr>
        <w:trPr>
          <w:trHeight w:val="1565" w:hRule="atLeast"/>
        </w:trPr>
        <w:tc>
          <w:tcPr>
            <w:tcW w:w="56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9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1"/>
              </w:rPr>
              <w:t>1</w:t>
            </w:r>
          </w:p>
        </w:tc>
        <w:tc>
          <w:tcPr>
            <w:tcW w:w="11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11" w:right="79" w:hanging="120"/>
              <w:spacing w:before="7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地理学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展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动态</w:t>
            </w:r>
          </w:p>
        </w:tc>
        <w:tc>
          <w:tcPr>
            <w:tcW w:w="101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402" w:right="28" w:hanging="358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业选修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课</w:t>
            </w:r>
          </w:p>
        </w:tc>
        <w:tc>
          <w:tcPr>
            <w:tcW w:w="585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23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0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75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志忠</w:t>
            </w:r>
          </w:p>
        </w:tc>
        <w:tc>
          <w:tcPr>
            <w:tcW w:w="4382" w:type="dxa"/>
            <w:vAlign w:val="top"/>
          </w:tcPr>
          <w:p>
            <w:pPr>
              <w:ind w:left="18" w:right="54" w:firstLine="6"/>
              <w:spacing w:before="38" w:line="24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要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向学生介绍地理学的形成与发展历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史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，并结合当前全球面临的资源、环境与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发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展问题，全面介绍当前自然地理学、人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文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地理学、地理信息系统研究的前沿动态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发展趋势。</w:t>
            </w:r>
          </w:p>
        </w:tc>
      </w:tr>
    </w:tbl>
    <w:p>
      <w:pPr>
        <w:spacing w:line="432" w:lineRule="auto"/>
        <w:rPr>
          <w:rFonts w:ascii="Arial"/>
          <w:sz w:val="21"/>
        </w:rPr>
      </w:pPr>
      <w:r/>
    </w:p>
    <w:p>
      <w:pPr>
        <w:ind w:left="576"/>
        <w:spacing w:before="9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课程教学质量</w:t>
      </w:r>
    </w:p>
    <w:p>
      <w:pPr>
        <w:ind w:left="599"/>
        <w:spacing w:before="204" w:line="224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为</w:t>
      </w:r>
      <w:r>
        <w:rPr>
          <w:rFonts w:ascii="FangSong" w:hAnsi="FangSong" w:eastAsia="FangSong" w:cs="FangSong"/>
          <w:sz w:val="28"/>
          <w:szCs w:val="28"/>
          <w:spacing w:val="-5"/>
        </w:rPr>
        <w:t>规</w:t>
      </w:r>
      <w:r>
        <w:rPr>
          <w:rFonts w:ascii="FangSong" w:hAnsi="FangSong" w:eastAsia="FangSong" w:cs="FangSong"/>
          <w:sz w:val="28"/>
          <w:szCs w:val="28"/>
          <w:spacing w:val="-4"/>
        </w:rPr>
        <w:t>范研究生教学管理和提升研究生教学质量，构建研究生课程</w:t>
      </w:r>
    </w:p>
    <w:p>
      <w:pPr>
        <w:ind w:left="30" w:right="407" w:hanging="1"/>
        <w:spacing w:before="209" w:line="36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教学质量</w:t>
      </w:r>
      <w:r>
        <w:rPr>
          <w:rFonts w:ascii="FangSong" w:hAnsi="FangSong" w:eastAsia="FangSong" w:cs="FangSong"/>
          <w:sz w:val="28"/>
          <w:szCs w:val="28"/>
          <w:spacing w:val="-5"/>
        </w:rPr>
        <w:t>督</w:t>
      </w:r>
      <w:r>
        <w:rPr>
          <w:rFonts w:ascii="FangSong" w:hAnsi="FangSong" w:eastAsia="FangSong" w:cs="FangSong"/>
          <w:sz w:val="28"/>
          <w:szCs w:val="28"/>
          <w:spacing w:val="-3"/>
        </w:rPr>
        <w:t>导长效机制，创新课程教学督导方式，主要的创新做法包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括：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构建教学质量监督机制，成立以院长为组长、主管副院长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为副组长、研</w:t>
      </w:r>
      <w:r>
        <w:rPr>
          <w:rFonts w:ascii="FangSong" w:hAnsi="FangSong" w:eastAsia="FangSong" w:cs="FangSong"/>
          <w:sz w:val="28"/>
          <w:szCs w:val="28"/>
          <w:spacing w:val="-4"/>
        </w:rPr>
        <w:t>究</w:t>
      </w:r>
      <w:r>
        <w:rPr>
          <w:rFonts w:ascii="FangSong" w:hAnsi="FangSong" w:eastAsia="FangSong" w:cs="FangSong"/>
          <w:sz w:val="28"/>
          <w:szCs w:val="28"/>
          <w:spacing w:val="-3"/>
        </w:rPr>
        <w:t>生导师为成员的研究生课程质量督导小组，构建涵盖</w:t>
      </w:r>
    </w:p>
    <w:p>
      <w:pPr>
        <w:sectPr>
          <w:footerReference w:type="default" r:id="rId38"/>
          <w:pgSz w:w="11906" w:h="16839"/>
          <w:pgMar w:top="400" w:right="1387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29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bookmarkStart w:name="_bookmark13" w:id="11"/>
      <w:bookmarkEnd w:id="11"/>
      <w:r>
        <w:rPr>
          <w:rFonts w:ascii="FangSong" w:hAnsi="FangSong" w:eastAsia="FangSong" w:cs="FangSong"/>
          <w:sz w:val="28"/>
          <w:szCs w:val="28"/>
          <w:spacing w:val="-6"/>
        </w:rPr>
        <w:t>教学计划制</w:t>
      </w:r>
      <w:r>
        <w:rPr>
          <w:rFonts w:ascii="FangSong" w:hAnsi="FangSong" w:eastAsia="FangSong" w:cs="FangSong"/>
          <w:sz w:val="28"/>
          <w:szCs w:val="28"/>
          <w:spacing w:val="-5"/>
        </w:rPr>
        <w:t>定</w:t>
      </w:r>
      <w:r>
        <w:rPr>
          <w:rFonts w:ascii="FangSong" w:hAnsi="FangSong" w:eastAsia="FangSong" w:cs="FangSong"/>
          <w:sz w:val="28"/>
          <w:szCs w:val="28"/>
          <w:spacing w:val="-3"/>
        </w:rPr>
        <w:t>实施、课堂教学、课程考核、教学档案归置等教学全过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程督</w:t>
      </w:r>
      <w:r>
        <w:rPr>
          <w:rFonts w:ascii="FangSong" w:hAnsi="FangSong" w:eastAsia="FangSong" w:cs="FangSong"/>
          <w:sz w:val="28"/>
          <w:szCs w:val="28"/>
          <w:spacing w:val="-5"/>
        </w:rPr>
        <w:t>导</w:t>
      </w:r>
      <w:r>
        <w:rPr>
          <w:rFonts w:ascii="FangSong" w:hAnsi="FangSong" w:eastAsia="FangSong" w:cs="FangSong"/>
          <w:sz w:val="28"/>
          <w:szCs w:val="28"/>
          <w:spacing w:val="-3"/>
        </w:rPr>
        <w:t>机制；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改革课程教学督导方式，采取定期督导检查、不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定期</w:t>
      </w:r>
      <w:r>
        <w:rPr>
          <w:rFonts w:ascii="FangSong" w:hAnsi="FangSong" w:eastAsia="FangSong" w:cs="FangSong"/>
          <w:sz w:val="28"/>
          <w:szCs w:val="28"/>
          <w:spacing w:val="-8"/>
        </w:rPr>
        <w:t>抽查和随堂听课等相结合的方式，考察课程讲授内容、教学目标，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教学方式、教学手段、教学效果等的规范性、合理性和前沿性；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3</w:t>
      </w:r>
      <w:r>
        <w:rPr>
          <w:rFonts w:ascii="FangSong" w:hAnsi="FangSong" w:eastAsia="FangSong" w:cs="FangSong"/>
          <w:sz w:val="28"/>
          <w:szCs w:val="28"/>
          <w:spacing w:val="-8"/>
        </w:rPr>
        <w:t>)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创新课程</w:t>
      </w:r>
      <w:r>
        <w:rPr>
          <w:rFonts w:ascii="FangSong" w:hAnsi="FangSong" w:eastAsia="FangSong" w:cs="FangSong"/>
          <w:sz w:val="28"/>
          <w:szCs w:val="28"/>
          <w:spacing w:val="-5"/>
        </w:rPr>
        <w:t>考</w:t>
      </w:r>
      <w:r>
        <w:rPr>
          <w:rFonts w:ascii="FangSong" w:hAnsi="FangSong" w:eastAsia="FangSong" w:cs="FangSong"/>
          <w:sz w:val="28"/>
          <w:szCs w:val="28"/>
          <w:spacing w:val="-3"/>
        </w:rPr>
        <w:t>核评价模式，转变只注重课堂教学，忽视课程考核、课前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计划和教学</w:t>
      </w:r>
      <w:r>
        <w:rPr>
          <w:rFonts w:ascii="FangSong" w:hAnsi="FangSong" w:eastAsia="FangSong" w:cs="FangSong"/>
          <w:sz w:val="28"/>
          <w:szCs w:val="28"/>
          <w:spacing w:val="-5"/>
        </w:rPr>
        <w:t>效</w:t>
      </w:r>
      <w:r>
        <w:rPr>
          <w:rFonts w:ascii="FangSong" w:hAnsi="FangSong" w:eastAsia="FangSong" w:cs="FangSong"/>
          <w:sz w:val="28"/>
          <w:szCs w:val="28"/>
          <w:spacing w:val="-3"/>
        </w:rPr>
        <w:t>果的传统课程教学方式，本着以评促改原则，构建包括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课程教学</w:t>
      </w:r>
      <w:r>
        <w:rPr>
          <w:rFonts w:ascii="FangSong" w:hAnsi="FangSong" w:eastAsia="FangSong" w:cs="FangSong"/>
          <w:sz w:val="28"/>
          <w:szCs w:val="28"/>
          <w:spacing w:val="-5"/>
        </w:rPr>
        <w:t>全</w:t>
      </w:r>
      <w:r>
        <w:rPr>
          <w:rFonts w:ascii="FangSong" w:hAnsi="FangSong" w:eastAsia="FangSong" w:cs="FangSong"/>
          <w:sz w:val="28"/>
          <w:szCs w:val="28"/>
          <w:spacing w:val="-3"/>
        </w:rPr>
        <w:t>过程的定量评价指标、考核体系和奖惩制度，规范课程教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学过程，提升</w:t>
      </w:r>
      <w:r>
        <w:rPr>
          <w:rFonts w:ascii="FangSong" w:hAnsi="FangSong" w:eastAsia="FangSong" w:cs="FangSong"/>
          <w:sz w:val="28"/>
          <w:szCs w:val="28"/>
          <w:spacing w:val="-1"/>
        </w:rPr>
        <w:t>教学效果。</w:t>
      </w:r>
    </w:p>
    <w:p>
      <w:pPr>
        <w:ind w:left="582"/>
        <w:spacing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1"/>
        </w:rPr>
        <w:t>持续改进机制</w:t>
      </w:r>
    </w:p>
    <w:p>
      <w:pPr>
        <w:ind w:left="590"/>
        <w:spacing w:before="207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2"/>
        </w:rPr>
        <w:t>地</w:t>
      </w:r>
      <w:r>
        <w:rPr>
          <w:rFonts w:ascii="FangSong" w:hAnsi="FangSong" w:eastAsia="FangSong" w:cs="FangSong"/>
          <w:sz w:val="28"/>
          <w:szCs w:val="28"/>
          <w:spacing w:val="10"/>
        </w:rPr>
        <w:t>理</w:t>
      </w:r>
      <w:r>
        <w:rPr>
          <w:rFonts w:ascii="FangSong" w:hAnsi="FangSong" w:eastAsia="FangSong" w:cs="FangSong"/>
          <w:sz w:val="28"/>
          <w:szCs w:val="28"/>
          <w:spacing w:val="6"/>
        </w:rPr>
        <w:t>学学位点面向地理学前沿和国民经济发展与海南自贸港建</w:t>
      </w:r>
    </w:p>
    <w:p>
      <w:pPr>
        <w:ind w:left="29" w:right="96"/>
        <w:spacing w:before="210" w:line="352" w:lineRule="auto"/>
        <w:tabs>
          <w:tab w:val="left" w:leader="empty" w:pos="170"/>
        </w:tabs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设客观需求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以培养具有从事地理学科学研究、教学管理、专门技术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工作的高端</w:t>
      </w:r>
      <w:r>
        <w:rPr>
          <w:rFonts w:ascii="FangSong" w:hAnsi="FangSong" w:eastAsia="FangSong" w:cs="FangSong"/>
          <w:sz w:val="28"/>
          <w:szCs w:val="28"/>
          <w:spacing w:val="-5"/>
        </w:rPr>
        <w:t>人</w:t>
      </w:r>
      <w:r>
        <w:rPr>
          <w:rFonts w:ascii="FangSong" w:hAnsi="FangSong" w:eastAsia="FangSong" w:cs="FangSong"/>
          <w:sz w:val="28"/>
          <w:szCs w:val="28"/>
          <w:spacing w:val="-3"/>
        </w:rPr>
        <w:t>才为目标，聚焦自然地理、人文地理、地图学与地理信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息系统专业方向，推进</w:t>
      </w:r>
      <w:r>
        <w:rPr>
          <w:rFonts w:ascii="FangSong" w:hAnsi="FangSong" w:eastAsia="FangSong" w:cs="FangSong"/>
          <w:sz w:val="28"/>
          <w:szCs w:val="28"/>
          <w:spacing w:val="-3"/>
        </w:rPr>
        <w:t>研</w:t>
      </w:r>
      <w:r>
        <w:rPr>
          <w:rFonts w:ascii="FangSong" w:hAnsi="FangSong" w:eastAsia="FangSong" w:cs="FangSong"/>
          <w:sz w:val="28"/>
          <w:szCs w:val="28"/>
          <w:spacing w:val="-2"/>
        </w:rPr>
        <w:t>究生课程教学改革，主要的创新做法包括：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ab/>
      </w:r>
      <w:r>
        <w:rPr>
          <w:rFonts w:ascii="FangSong" w:hAnsi="FangSong" w:eastAsia="FangSong" w:cs="FangSong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特色课程体系建设。强化地理学基础理论方法、学科前沿和区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域特色问</w:t>
      </w:r>
      <w:r>
        <w:rPr>
          <w:rFonts w:ascii="FangSong" w:hAnsi="FangSong" w:eastAsia="FangSong" w:cs="FangSong"/>
          <w:sz w:val="28"/>
          <w:szCs w:val="28"/>
          <w:spacing w:val="-5"/>
        </w:rPr>
        <w:t>题</w:t>
      </w:r>
      <w:r>
        <w:rPr>
          <w:rFonts w:ascii="FangSong" w:hAnsi="FangSong" w:eastAsia="FangSong" w:cs="FangSong"/>
          <w:sz w:val="28"/>
          <w:szCs w:val="28"/>
          <w:spacing w:val="-3"/>
        </w:rPr>
        <w:t>教学，开展《现代人文地理学》和《地球系统科学》两门</w:t>
      </w:r>
    </w:p>
    <w:p>
      <w:pPr>
        <w:ind w:left="29"/>
        <w:spacing w:line="377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  <w:position w:val="1"/>
        </w:rPr>
        <w:t>核心专业课程的课程思政教学试点</w:t>
      </w:r>
      <w:r>
        <w:rPr>
          <w:rFonts w:ascii="FangSong" w:hAnsi="FangSong" w:eastAsia="FangSong" w:cs="FangSong"/>
          <w:sz w:val="28"/>
          <w:szCs w:val="28"/>
          <w:position w:val="1"/>
        </w:rPr>
        <w:t>示范，构建专业基础课程</w:t>
      </w:r>
      <w:r>
        <w:rPr>
          <w:rFonts w:ascii="Times New Roman" w:hAnsi="Times New Roman" w:eastAsia="Times New Roman" w:cs="Times New Roman"/>
          <w:sz w:val="28"/>
          <w:szCs w:val="28"/>
          <w:position w:val="1"/>
        </w:rPr>
        <w:t>+</w:t>
      </w:r>
      <w:r>
        <w:rPr>
          <w:rFonts w:ascii="FangSong" w:hAnsi="FangSong" w:eastAsia="FangSong" w:cs="FangSong"/>
          <w:sz w:val="28"/>
          <w:szCs w:val="28"/>
          <w:position w:val="1"/>
        </w:rPr>
        <w:t>学科前</w:t>
      </w:r>
    </w:p>
    <w:p>
      <w:pPr>
        <w:ind w:left="27" w:right="39" w:firstLine="3"/>
        <w:spacing w:before="167" w:line="36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4"/>
        </w:rPr>
        <w:t>沿动态专</w:t>
      </w:r>
      <w:r>
        <w:rPr>
          <w:rFonts w:ascii="FangSong" w:hAnsi="FangSong" w:eastAsia="FangSong" w:cs="FangSong"/>
          <w:sz w:val="28"/>
          <w:szCs w:val="28"/>
          <w:spacing w:val="-7"/>
        </w:rPr>
        <w:t>题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+</w:t>
      </w:r>
      <w:r>
        <w:rPr>
          <w:rFonts w:ascii="FangSong" w:hAnsi="FangSong" w:eastAsia="FangSong" w:cs="FangSong"/>
          <w:sz w:val="28"/>
          <w:szCs w:val="28"/>
          <w:spacing w:val="-7"/>
        </w:rPr>
        <w:t>热带海岛区域特色专题融合的特色课程体系；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</w:t>
      </w:r>
      <w:r>
        <w:rPr>
          <w:rFonts w:ascii="FangSong" w:hAnsi="FangSong" w:eastAsia="FangSong" w:cs="FangSong"/>
          <w:sz w:val="28"/>
          <w:szCs w:val="28"/>
          <w:spacing w:val="-7"/>
        </w:rPr>
        <w:t>)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课程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教学方式多</w:t>
      </w:r>
      <w:r>
        <w:rPr>
          <w:rFonts w:ascii="FangSong" w:hAnsi="FangSong" w:eastAsia="FangSong" w:cs="FangSong"/>
          <w:sz w:val="28"/>
          <w:szCs w:val="28"/>
          <w:spacing w:val="-3"/>
        </w:rPr>
        <w:t>元化改革。围绕研究生培养目标，转变传统单一的教师课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堂讲授方式</w:t>
      </w:r>
      <w:r>
        <w:rPr>
          <w:rFonts w:ascii="FangSong" w:hAnsi="FangSong" w:eastAsia="FangSong" w:cs="FangSong"/>
          <w:sz w:val="28"/>
          <w:szCs w:val="28"/>
          <w:spacing w:val="-3"/>
        </w:rPr>
        <w:t>，</w:t>
      </w:r>
      <w:r>
        <w:rPr>
          <w:rFonts w:ascii="FangSong" w:hAnsi="FangSong" w:eastAsia="FangSong" w:cs="FangSong"/>
          <w:sz w:val="28"/>
          <w:szCs w:val="28"/>
          <w:spacing w:val="-2"/>
        </w:rPr>
        <w:t>打造教师和学生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" w:hAnsi="FangSong" w:eastAsia="FangSong" w:cs="FangSong"/>
          <w:sz w:val="28"/>
          <w:szCs w:val="28"/>
          <w:spacing w:val="-2"/>
        </w:rPr>
        <w:t>双主体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" w:hAnsi="FangSong" w:eastAsia="FangSong" w:cs="FangSong"/>
          <w:sz w:val="28"/>
          <w:szCs w:val="28"/>
          <w:spacing w:val="-2"/>
        </w:rPr>
        <w:t>互动，以学生为中心的课程教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学模式，将课程讲授、课堂讨论、课后互动和教师的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“</w:t>
      </w:r>
      <w:r>
        <w:rPr>
          <w:rFonts w:ascii="FangSong" w:hAnsi="FangSong" w:eastAsia="FangSong" w:cs="FangSong"/>
          <w:sz w:val="28"/>
          <w:szCs w:val="28"/>
          <w:spacing w:val="-8"/>
        </w:rPr>
        <w:t>导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”</w:t>
      </w:r>
      <w:r>
        <w:rPr>
          <w:rFonts w:ascii="FangSong" w:hAnsi="FangSong" w:eastAsia="FangSong" w:cs="FangSong"/>
          <w:sz w:val="28"/>
          <w:szCs w:val="28"/>
          <w:spacing w:val="-8"/>
        </w:rPr>
        <w:t>、学生的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“</w:t>
      </w:r>
      <w:r>
        <w:rPr>
          <w:rFonts w:ascii="FangSong" w:hAnsi="FangSong" w:eastAsia="FangSong" w:cs="FangSong"/>
          <w:sz w:val="28"/>
          <w:szCs w:val="28"/>
          <w:spacing w:val="-8"/>
        </w:rPr>
        <w:t>思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有机融合；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9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3</w:t>
      </w:r>
      <w:r>
        <w:rPr>
          <w:rFonts w:ascii="FangSong" w:hAnsi="FangSong" w:eastAsia="FangSong" w:cs="FangSong"/>
          <w:sz w:val="28"/>
          <w:szCs w:val="28"/>
          <w:spacing w:val="-9"/>
        </w:rPr>
        <w:t>)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课程教学模式的探索。基于课程基本理论方法讲授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引导学生参</w:t>
      </w:r>
      <w:r>
        <w:rPr>
          <w:rFonts w:ascii="FangSong" w:hAnsi="FangSong" w:eastAsia="FangSong" w:cs="FangSong"/>
          <w:sz w:val="28"/>
          <w:szCs w:val="28"/>
          <w:spacing w:val="-3"/>
        </w:rPr>
        <w:t>与项目研究、社会实践和学术研讨，强化学生实践应用能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力培养，积极探索课堂教学和实</w:t>
      </w:r>
      <w:r>
        <w:rPr>
          <w:rFonts w:ascii="FangSong" w:hAnsi="FangSong" w:eastAsia="FangSong" w:cs="FangSong"/>
          <w:sz w:val="28"/>
          <w:szCs w:val="28"/>
        </w:rPr>
        <w:t>践教学无缝对接的教学模式。</w:t>
      </w:r>
    </w:p>
    <w:p>
      <w:pPr>
        <w:ind w:left="575"/>
        <w:spacing w:before="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服务基础教育</w:t>
      </w:r>
    </w:p>
    <w:p>
      <w:pPr>
        <w:ind w:left="596"/>
        <w:spacing w:before="206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唐</w:t>
      </w:r>
      <w:r>
        <w:rPr>
          <w:rFonts w:ascii="FangSong" w:hAnsi="FangSong" w:eastAsia="FangSong" w:cs="FangSong"/>
          <w:sz w:val="28"/>
          <w:szCs w:val="28"/>
          <w:spacing w:val="-4"/>
        </w:rPr>
        <w:t>少霞教授的《助推素质教育的研学旅行探索与实践》获得海南</w:t>
      </w:r>
    </w:p>
    <w:p>
      <w:pPr>
        <w:sectPr>
          <w:footerReference w:type="default" r:id="rId39"/>
          <w:pgSz w:w="11906" w:h="16839"/>
          <w:pgMar w:top="400" w:right="1674" w:bottom="1168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0" w:right="13" w:firstLine="2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省基础教育教学成果一等奖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(图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14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。该成果构建了研学旅</w:t>
      </w:r>
      <w:r>
        <w:rPr>
          <w:rFonts w:ascii="FangSong" w:hAnsi="FangSong" w:eastAsia="FangSong" w:cs="FangSong"/>
          <w:sz w:val="28"/>
          <w:szCs w:val="28"/>
        </w:rPr>
        <w:t>行实践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基地标准体系，提出研学导师服务规范，指出研学课程应遵循的原则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</w:p>
    <w:p>
      <w:pPr>
        <w:ind w:left="29"/>
        <w:spacing w:before="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服务</w:t>
      </w:r>
      <w:r>
        <w:rPr>
          <w:rFonts w:ascii="FangSong" w:hAnsi="FangSong" w:eastAsia="FangSong" w:cs="FangSong"/>
          <w:sz w:val="28"/>
          <w:szCs w:val="28"/>
          <w:spacing w:val="-2"/>
        </w:rPr>
        <w:t>基础教育。</w:t>
      </w:r>
    </w:p>
    <w:p>
      <w:pPr>
        <w:ind w:firstLine="1245"/>
        <w:spacing w:before="170" w:line="3761" w:lineRule="exact"/>
        <w:textAlignment w:val="center"/>
        <w:rPr/>
      </w:pPr>
      <w:r>
        <w:drawing>
          <wp:inline distT="0" distB="0" distL="0" distR="0">
            <wp:extent cx="3607308" cy="238810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308" cy="23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36"/>
        <w:spacing w:before="274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6"/>
        </w:rPr>
        <w:t>图</w:t>
      </w:r>
      <w:r>
        <w:rPr>
          <w:rFonts w:ascii="FangSong" w:hAnsi="FangSong" w:eastAsia="FangSong" w:cs="FangSong"/>
          <w:sz w:val="23"/>
          <w:szCs w:val="23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4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3"/>
        </w:rPr>
        <w:t>海南省基础教育教学成果一等奖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589"/>
        <w:spacing w:before="92" w:line="220" w:lineRule="auto"/>
        <w:rPr>
          <w:rFonts w:ascii="SimSun" w:hAnsi="SimSun" w:eastAsia="SimSun" w:cs="SimSun"/>
          <w:sz w:val="28"/>
          <w:szCs w:val="28"/>
        </w:rPr>
      </w:pPr>
      <w:bookmarkStart w:name="_bookmark14" w:id="12"/>
      <w:bookmarkEnd w:id="12"/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三)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导师指导</w:t>
      </w:r>
    </w:p>
    <w:p>
      <w:pPr>
        <w:ind w:left="31" w:right="96" w:firstLine="570"/>
        <w:spacing w:before="210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点研究生培养实行导师负责制，采用导师个人负责与导师组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集体培养相结</w:t>
      </w:r>
      <w:r>
        <w:rPr>
          <w:rFonts w:ascii="FangSong" w:hAnsi="FangSong" w:eastAsia="FangSong" w:cs="FangSong"/>
          <w:sz w:val="28"/>
          <w:szCs w:val="28"/>
          <w:spacing w:val="-4"/>
        </w:rPr>
        <w:t>合</w:t>
      </w:r>
      <w:r>
        <w:rPr>
          <w:rFonts w:ascii="FangSong" w:hAnsi="FangSong" w:eastAsia="FangSong" w:cs="FangSong"/>
          <w:sz w:val="28"/>
          <w:szCs w:val="28"/>
          <w:spacing w:val="-3"/>
        </w:rPr>
        <w:t>的培养方式。培养过程中充分发挥导师指导研究生的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主导作用，利于调动研究生的主动性和自觉性。</w:t>
      </w:r>
    </w:p>
    <w:p>
      <w:pPr>
        <w:ind w:left="603"/>
        <w:spacing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完善导师管理机制</w:t>
      </w:r>
    </w:p>
    <w:p>
      <w:pPr>
        <w:ind w:left="30" w:firstLine="569"/>
        <w:spacing w:before="208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为</w:t>
      </w:r>
      <w:r>
        <w:rPr>
          <w:rFonts w:ascii="FangSong" w:hAnsi="FangSong" w:eastAsia="FangSong" w:cs="FangSong"/>
          <w:sz w:val="28"/>
          <w:szCs w:val="28"/>
          <w:spacing w:val="-5"/>
        </w:rPr>
        <w:t>了</w:t>
      </w:r>
      <w:r>
        <w:rPr>
          <w:rFonts w:ascii="FangSong" w:hAnsi="FangSong" w:eastAsia="FangSong" w:cs="FangSong"/>
          <w:sz w:val="28"/>
          <w:szCs w:val="28"/>
          <w:spacing w:val="-4"/>
        </w:rPr>
        <w:t>强化导师岗位管理，学校制定出台《海南师范大学研究生导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师队伍管理</w:t>
      </w:r>
      <w:r>
        <w:rPr>
          <w:rFonts w:ascii="FangSong" w:hAnsi="FangSong" w:eastAsia="FangSong" w:cs="FangSong"/>
          <w:sz w:val="28"/>
          <w:szCs w:val="28"/>
          <w:spacing w:val="-3"/>
        </w:rPr>
        <w:t>办法》，明确导师权责、规范导师指导行为。建立了科学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合理的导师考</w:t>
      </w:r>
      <w:r>
        <w:rPr>
          <w:rFonts w:ascii="FangSong" w:hAnsi="FangSong" w:eastAsia="FangSong" w:cs="FangSong"/>
          <w:sz w:val="28"/>
          <w:szCs w:val="28"/>
          <w:spacing w:val="-3"/>
        </w:rPr>
        <w:t>核评价体系，将考核结果作为岗位晋级、绩效分配、评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优</w:t>
      </w:r>
      <w:r>
        <w:rPr>
          <w:rFonts w:ascii="FangSong" w:hAnsi="FangSong" w:eastAsia="FangSong" w:cs="FangSong"/>
          <w:sz w:val="28"/>
          <w:szCs w:val="28"/>
          <w:spacing w:val="-13"/>
        </w:rPr>
        <w:t>评</w:t>
      </w:r>
      <w:r>
        <w:rPr>
          <w:rFonts w:ascii="FangSong" w:hAnsi="FangSong" w:eastAsia="FangSong" w:cs="FangSong"/>
          <w:sz w:val="28"/>
          <w:szCs w:val="28"/>
          <w:spacing w:val="-9"/>
        </w:rPr>
        <w:t>先等的重要依据。为了树立榜样，表彰先进，发挥示范引领作用，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海南省教育厅</w:t>
      </w:r>
      <w:r>
        <w:rPr>
          <w:rFonts w:ascii="FangSong" w:hAnsi="FangSong" w:eastAsia="FangSong" w:cs="FangSong"/>
          <w:sz w:val="28"/>
          <w:szCs w:val="28"/>
          <w:spacing w:val="-3"/>
        </w:rPr>
        <w:t>和海南师范大学举办了首届“优秀研究生导师”、“优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秀研究生导师</w:t>
      </w:r>
      <w:r>
        <w:rPr>
          <w:rFonts w:ascii="FangSong" w:hAnsi="FangSong" w:eastAsia="FangSong" w:cs="FangSong"/>
          <w:sz w:val="28"/>
          <w:szCs w:val="28"/>
          <w:spacing w:val="-3"/>
        </w:rPr>
        <w:t>团队”评选活动。在此次评选活动中，我院刘玉燕教授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获</w:t>
      </w:r>
      <w:r>
        <w:rPr>
          <w:rFonts w:ascii="FangSong" w:hAnsi="FangSong" w:eastAsia="FangSong" w:cs="FangSong"/>
          <w:sz w:val="28"/>
          <w:szCs w:val="28"/>
          <w:spacing w:val="-13"/>
        </w:rPr>
        <w:t>得</w:t>
      </w:r>
      <w:r>
        <w:rPr>
          <w:rFonts w:ascii="FangSong" w:hAnsi="FangSong" w:eastAsia="FangSong" w:cs="FangSong"/>
          <w:sz w:val="28"/>
          <w:szCs w:val="28"/>
          <w:spacing w:val="-9"/>
        </w:rPr>
        <w:t>“海南省优秀研究生导师”荣誉称号，程叶青、张金萍、符天蓝、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陈妍、马东来</w:t>
      </w:r>
      <w:r>
        <w:rPr>
          <w:rFonts w:ascii="FangSong" w:hAnsi="FangSong" w:eastAsia="FangSong" w:cs="FangSong"/>
          <w:sz w:val="28"/>
          <w:szCs w:val="28"/>
          <w:spacing w:val="-3"/>
        </w:rPr>
        <w:t>组成的“热带海岛地理研究组团队”被评为“海南师范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大</w:t>
      </w:r>
      <w:r>
        <w:rPr>
          <w:rFonts w:ascii="FangSong" w:hAnsi="FangSong" w:eastAsia="FangSong" w:cs="FangSong"/>
          <w:sz w:val="28"/>
          <w:szCs w:val="28"/>
          <w:spacing w:val="-4"/>
        </w:rPr>
        <w:t>学优秀研究生导师团队”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(图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15)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。</w:t>
      </w:r>
    </w:p>
    <w:p>
      <w:pPr>
        <w:sectPr>
          <w:footerReference w:type="default" r:id="rId40"/>
          <w:pgSz w:w="11906" w:h="16839"/>
          <w:pgMar w:top="400" w:right="1700" w:bottom="1168" w:left="1785" w:header="0" w:footer="1008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1167383</wp:posOffset>
            </wp:positionH>
            <wp:positionV relativeFrom="page">
              <wp:posOffset>967740</wp:posOffset>
            </wp:positionV>
            <wp:extent cx="2663951" cy="1892807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395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4377"/>
        <w:spacing w:line="2983" w:lineRule="exact"/>
        <w:textAlignment w:val="center"/>
        <w:rPr/>
      </w:pPr>
      <w:r>
        <w:drawing>
          <wp:inline distT="0" distB="0" distL="0" distR="0">
            <wp:extent cx="2682239" cy="189433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2239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96"/>
        <w:spacing w:before="223" w:line="23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图</w:t>
      </w:r>
      <w:r>
        <w:rPr>
          <w:rFonts w:ascii="FangSong" w:hAnsi="FangSong" w:eastAsia="FangSong" w:cs="FangSong"/>
          <w:sz w:val="23"/>
          <w:szCs w:val="23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15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-1"/>
        </w:rPr>
        <w:t>导师荣誉</w:t>
      </w:r>
      <w:r>
        <w:rPr>
          <w:rFonts w:ascii="FangSong" w:hAnsi="FangSong" w:eastAsia="FangSong" w:cs="FangSong"/>
          <w:sz w:val="23"/>
          <w:szCs w:val="23"/>
        </w:rPr>
        <w:t>证书</w:t>
      </w:r>
    </w:p>
    <w:p>
      <w:pPr>
        <w:ind w:left="437"/>
        <w:spacing w:before="184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 </w:t>
      </w:r>
      <w:r>
        <w:rPr>
          <w:rFonts w:ascii="FangSong" w:hAnsi="FangSong" w:eastAsia="FangSong" w:cs="FangSong"/>
          <w:sz w:val="28"/>
          <w:szCs w:val="28"/>
        </w:rPr>
        <w:t>健全研究生导师选聘机制</w:t>
      </w:r>
    </w:p>
    <w:p>
      <w:pPr>
        <w:ind w:left="29" w:right="275" w:firstLine="572"/>
        <w:spacing w:before="210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校</w:t>
      </w:r>
      <w:r>
        <w:rPr>
          <w:rFonts w:ascii="FangSong" w:hAnsi="FangSong" w:eastAsia="FangSong" w:cs="FangSong"/>
          <w:sz w:val="28"/>
          <w:szCs w:val="28"/>
          <w:spacing w:val="-4"/>
        </w:rPr>
        <w:t>全面修订了《海南师范大学研究生指导教师选聘办法》，落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实破“五</w:t>
      </w:r>
      <w:r>
        <w:rPr>
          <w:rFonts w:ascii="FangSong" w:hAnsi="FangSong" w:eastAsia="FangSong" w:cs="FangSong"/>
          <w:sz w:val="28"/>
          <w:szCs w:val="28"/>
          <w:spacing w:val="-5"/>
        </w:rPr>
        <w:t>唯</w:t>
      </w:r>
      <w:r>
        <w:rPr>
          <w:rFonts w:ascii="FangSong" w:hAnsi="FangSong" w:eastAsia="FangSong" w:cs="FangSong"/>
          <w:sz w:val="28"/>
          <w:szCs w:val="28"/>
          <w:spacing w:val="-3"/>
        </w:rPr>
        <w:t>”和教育评价改革要求，把立德树人作为遴选导师的首要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条件，科研</w:t>
      </w:r>
      <w:r>
        <w:rPr>
          <w:rFonts w:ascii="FangSong" w:hAnsi="FangSong" w:eastAsia="FangSong" w:cs="FangSong"/>
          <w:sz w:val="28"/>
          <w:szCs w:val="28"/>
          <w:spacing w:val="-5"/>
        </w:rPr>
        <w:t>成</w:t>
      </w:r>
      <w:r>
        <w:rPr>
          <w:rFonts w:ascii="FangSong" w:hAnsi="FangSong" w:eastAsia="FangSong" w:cs="FangSong"/>
          <w:sz w:val="28"/>
          <w:szCs w:val="28"/>
          <w:spacing w:val="-3"/>
        </w:rPr>
        <w:t>果引入代表作和同行评议机制，实现导师岗位资格与招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生资格分离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从政治素质、师德师风、学术水平、育人能力、指导经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验和培养条</w:t>
      </w:r>
      <w:r>
        <w:rPr>
          <w:rFonts w:ascii="FangSong" w:hAnsi="FangSong" w:eastAsia="FangSong" w:cs="FangSong"/>
          <w:sz w:val="28"/>
          <w:szCs w:val="28"/>
          <w:spacing w:val="-5"/>
        </w:rPr>
        <w:t>件</w:t>
      </w:r>
      <w:r>
        <w:rPr>
          <w:rFonts w:ascii="FangSong" w:hAnsi="FangSong" w:eastAsia="FangSong" w:cs="FangSong"/>
          <w:sz w:val="28"/>
          <w:szCs w:val="28"/>
          <w:spacing w:val="-3"/>
        </w:rPr>
        <w:t>等方面综合遴选导师人选。我院进一步完善了导师遴选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制度、研究</w:t>
      </w:r>
      <w:r>
        <w:rPr>
          <w:rFonts w:ascii="FangSong" w:hAnsi="FangSong" w:eastAsia="FangSong" w:cs="FangSong"/>
          <w:sz w:val="28"/>
          <w:szCs w:val="28"/>
          <w:spacing w:val="-5"/>
        </w:rPr>
        <w:t>生</w:t>
      </w:r>
      <w:r>
        <w:rPr>
          <w:rFonts w:ascii="FangSong" w:hAnsi="FangSong" w:eastAsia="FangSong" w:cs="FangSong"/>
          <w:sz w:val="28"/>
          <w:szCs w:val="28"/>
          <w:spacing w:val="-3"/>
        </w:rPr>
        <w:t>导师选聘制度，形成了《地理与环境科学学院学术型研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究生导师遴</w:t>
      </w:r>
      <w:r>
        <w:rPr>
          <w:rFonts w:ascii="FangSong" w:hAnsi="FangSong" w:eastAsia="FangSong" w:cs="FangSong"/>
          <w:sz w:val="28"/>
          <w:szCs w:val="28"/>
          <w:spacing w:val="-5"/>
        </w:rPr>
        <w:t>选</w:t>
      </w:r>
      <w:r>
        <w:rPr>
          <w:rFonts w:ascii="FangSong" w:hAnsi="FangSong" w:eastAsia="FangSong" w:cs="FangSong"/>
          <w:sz w:val="28"/>
          <w:szCs w:val="28"/>
          <w:spacing w:val="-3"/>
        </w:rPr>
        <w:t>细则》和《地理学一级学科硕士点研究生导师招生资格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条件》。严</w:t>
      </w:r>
      <w:r>
        <w:rPr>
          <w:rFonts w:ascii="FangSong" w:hAnsi="FangSong" w:eastAsia="FangSong" w:cs="FangSong"/>
          <w:sz w:val="28"/>
          <w:szCs w:val="28"/>
          <w:spacing w:val="-5"/>
        </w:rPr>
        <w:t>格</w:t>
      </w:r>
      <w:r>
        <w:rPr>
          <w:rFonts w:ascii="FangSong" w:hAnsi="FangSong" w:eastAsia="FangSong" w:cs="FangSong"/>
          <w:sz w:val="28"/>
          <w:szCs w:val="28"/>
          <w:spacing w:val="-3"/>
        </w:rPr>
        <w:t>规范了硕士生导师资格认定和过程监管，确保人才培养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的质量和</w:t>
      </w:r>
      <w:r>
        <w:rPr>
          <w:rFonts w:ascii="FangSong" w:hAnsi="FangSong" w:eastAsia="FangSong" w:cs="FangSong"/>
          <w:sz w:val="28"/>
          <w:szCs w:val="28"/>
          <w:spacing w:val="-1"/>
        </w:rPr>
        <w:t>水平的不断提升。</w:t>
      </w:r>
    </w:p>
    <w:p>
      <w:pPr>
        <w:ind w:left="582"/>
        <w:spacing w:before="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1"/>
        </w:rPr>
        <w:t>加强研究生导</w:t>
      </w:r>
      <w:r>
        <w:rPr>
          <w:rFonts w:ascii="FangSong" w:hAnsi="FangSong" w:eastAsia="FangSong" w:cs="FangSong"/>
          <w:sz w:val="28"/>
          <w:szCs w:val="28"/>
        </w:rPr>
        <w:t>师培训</w:t>
      </w:r>
    </w:p>
    <w:p>
      <w:pPr>
        <w:ind w:left="601"/>
        <w:spacing w:before="207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5"/>
        </w:rPr>
        <w:t>校</w:t>
      </w:r>
      <w:r>
        <w:rPr>
          <w:rFonts w:ascii="FangSong" w:hAnsi="FangSong" w:eastAsia="FangSong" w:cs="FangSong"/>
          <w:sz w:val="28"/>
          <w:szCs w:val="28"/>
          <w:spacing w:val="-4"/>
        </w:rPr>
        <w:t>常年开展“师德师风”线下培训、线上培训、自查自纠等活</w:t>
      </w:r>
    </w:p>
    <w:p>
      <w:pPr>
        <w:ind w:left="28" w:right="278" w:firstLine="5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动，学习全国师</w:t>
      </w:r>
      <w:r>
        <w:rPr>
          <w:rFonts w:ascii="FangSong" w:hAnsi="FangSong" w:eastAsia="FangSong" w:cs="FangSong"/>
          <w:sz w:val="28"/>
          <w:szCs w:val="28"/>
          <w:spacing w:val="-3"/>
        </w:rPr>
        <w:t>德模范等一系列“爱岗、敬业、奉献”为主要内容的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师德教育活动</w:t>
      </w:r>
      <w:r>
        <w:rPr>
          <w:rFonts w:ascii="FangSong" w:hAnsi="FangSong" w:eastAsia="FangSong" w:cs="FangSong"/>
          <w:sz w:val="28"/>
          <w:szCs w:val="28"/>
          <w:spacing w:val="-7"/>
        </w:rPr>
        <w:t>，</w:t>
      </w:r>
      <w:r>
        <w:rPr>
          <w:rFonts w:ascii="FangSong" w:hAnsi="FangSong" w:eastAsia="FangSong" w:cs="FangSong"/>
          <w:sz w:val="28"/>
          <w:szCs w:val="28"/>
          <w:spacing w:val="-5"/>
        </w:rPr>
        <w:t>促进“师德师风”常态化建设。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年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月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13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5"/>
        </w:rPr>
        <w:t>日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-8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月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31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5"/>
        </w:rPr>
        <w:t>日，新增硕士生导师参加了《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年度学术人才国际化培养</w:t>
      </w:r>
      <w:r>
        <w:rPr>
          <w:rFonts w:ascii="FangSong" w:hAnsi="FangSong" w:eastAsia="FangSong" w:cs="FangSong"/>
          <w:sz w:val="28"/>
          <w:szCs w:val="28"/>
          <w:spacing w:val="-1"/>
        </w:rPr>
        <w:t>及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辅导综合能力</w:t>
      </w:r>
      <w:r>
        <w:rPr>
          <w:rFonts w:ascii="FangSong" w:hAnsi="FangSong" w:eastAsia="FangSong" w:cs="FangSong"/>
          <w:sz w:val="28"/>
          <w:szCs w:val="28"/>
          <w:spacing w:val="-1"/>
        </w:rPr>
        <w:t>师资培训》。</w:t>
      </w:r>
    </w:p>
    <w:p>
      <w:pPr>
        <w:ind w:left="589"/>
        <w:spacing w:before="2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四)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学术训练</w:t>
      </w:r>
    </w:p>
    <w:p>
      <w:pPr>
        <w:ind w:left="30" w:right="275" w:firstLine="608"/>
        <w:spacing w:before="210" w:line="36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目前</w:t>
      </w:r>
      <w:r>
        <w:rPr>
          <w:rFonts w:ascii="FangSong" w:hAnsi="FangSong" w:eastAsia="FangSong" w:cs="FangSong"/>
          <w:sz w:val="28"/>
          <w:szCs w:val="28"/>
          <w:spacing w:val="-9"/>
        </w:rPr>
        <w:t>研</w:t>
      </w:r>
      <w:r>
        <w:rPr>
          <w:rFonts w:ascii="FangSong" w:hAnsi="FangSong" w:eastAsia="FangSong" w:cs="FangSong"/>
          <w:sz w:val="28"/>
          <w:szCs w:val="28"/>
          <w:spacing w:val="-5"/>
        </w:rPr>
        <w:t>究生开展的学术训练主要是学术研讨。要求研究生结合自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身的专业课</w:t>
      </w:r>
      <w:r>
        <w:rPr>
          <w:rFonts w:ascii="FangSong" w:hAnsi="FangSong" w:eastAsia="FangSong" w:cs="FangSong"/>
          <w:sz w:val="28"/>
          <w:szCs w:val="28"/>
          <w:spacing w:val="-3"/>
        </w:rPr>
        <w:t>程学习与学位论文工作，围绕本学科或相关学科领域的前</w:t>
      </w:r>
    </w:p>
    <w:p>
      <w:pPr>
        <w:sectPr>
          <w:footerReference w:type="default" r:id="rId42"/>
          <w:pgSz w:w="11906" w:h="16839"/>
          <w:pgMar w:top="400" w:right="1518" w:bottom="1168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28"/>
        <w:spacing w:before="91" w:line="545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  <w:position w:val="19"/>
        </w:rPr>
        <w:t>沿动态、最</w:t>
      </w:r>
      <w:r>
        <w:rPr>
          <w:rFonts w:ascii="FangSong" w:hAnsi="FangSong" w:eastAsia="FangSong" w:cs="FangSong"/>
          <w:sz w:val="28"/>
          <w:szCs w:val="28"/>
          <w:spacing w:val="-3"/>
          <w:position w:val="19"/>
        </w:rPr>
        <w:t>新进展和已取得的研究成果等通过公开宣读专题报告和集</w:t>
      </w:r>
    </w:p>
    <w:p>
      <w:pPr>
        <w:ind w:left="165"/>
        <w:spacing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中</w:t>
      </w:r>
      <w:r>
        <w:rPr>
          <w:rFonts w:ascii="FangSong" w:hAnsi="FangSong" w:eastAsia="FangSong" w:cs="FangSong"/>
          <w:sz w:val="28"/>
          <w:szCs w:val="28"/>
          <w:spacing w:val="-4"/>
        </w:rPr>
        <w:t>讨论的方式进行学习。开展形式主要是小组讨论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(图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16</w:t>
      </w:r>
      <w:r>
        <w:rPr>
          <w:rFonts w:ascii="FangSong" w:hAnsi="FangSong" w:eastAsia="FangSong" w:cs="FangSong"/>
          <w:sz w:val="28"/>
          <w:szCs w:val="28"/>
          <w:spacing w:val="-4"/>
        </w:rPr>
        <w:t>)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。</w:t>
      </w:r>
    </w:p>
    <w:p>
      <w:pPr>
        <w:ind w:firstLine="2025"/>
        <w:spacing w:before="170" w:line="3358" w:lineRule="exact"/>
        <w:textAlignment w:val="center"/>
        <w:rPr/>
      </w:pPr>
      <w:r>
        <w:drawing>
          <wp:inline distT="0" distB="0" distL="0" distR="0">
            <wp:extent cx="2980943" cy="2132076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0943" cy="21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75"/>
        <w:spacing w:before="307" w:line="23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8"/>
        </w:rPr>
        <w:t>图</w:t>
      </w:r>
      <w:r>
        <w:rPr>
          <w:rFonts w:ascii="FangSong" w:hAnsi="FangSong" w:eastAsia="FangSong" w:cs="FangSong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16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4"/>
        </w:rPr>
        <w:t>研究生以小组讨论的形式开展学术训练</w:t>
      </w:r>
    </w:p>
    <w:p>
      <w:pPr>
        <w:ind w:left="688"/>
        <w:spacing w:before="186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五)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学术交流</w:t>
      </w:r>
    </w:p>
    <w:p>
      <w:pPr>
        <w:ind w:left="128" w:right="6" w:firstLine="562"/>
        <w:spacing w:before="21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积极鼓励研究生</w:t>
      </w:r>
      <w:r>
        <w:rPr>
          <w:rFonts w:ascii="FangSong" w:hAnsi="FangSong" w:eastAsia="FangSong" w:cs="FangSong"/>
          <w:sz w:val="28"/>
          <w:szCs w:val="28"/>
          <w:spacing w:val="-5"/>
        </w:rPr>
        <w:t>参</w:t>
      </w:r>
      <w:r>
        <w:rPr>
          <w:rFonts w:ascii="FangSong" w:hAnsi="FangSong" w:eastAsia="FangSong" w:cs="FangSong"/>
          <w:sz w:val="28"/>
          <w:szCs w:val="28"/>
          <w:spacing w:val="-3"/>
        </w:rPr>
        <w:t>加国内外学术交流，通过学术交流快速了解本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领域及相</w:t>
      </w:r>
      <w:r>
        <w:rPr>
          <w:rFonts w:ascii="FangSong" w:hAnsi="FangSong" w:eastAsia="FangSong" w:cs="FangSong"/>
          <w:sz w:val="28"/>
          <w:szCs w:val="28"/>
          <w:spacing w:val="-1"/>
        </w:rPr>
        <w:t>近领域的学术前沿，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了解行业动态。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年，学位点邀请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校</w:t>
      </w:r>
      <w:r>
        <w:rPr>
          <w:rFonts w:ascii="FangSong" w:hAnsi="FangSong" w:eastAsia="FangSong" w:cs="FangSong"/>
          <w:sz w:val="28"/>
          <w:szCs w:val="28"/>
          <w:spacing w:val="-8"/>
        </w:rPr>
        <w:t>外专家为研究生开展学术报告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场，校内教师开展学术讲座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场。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研究生参加国内学术会议或报告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(线上)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46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人次，做学术报告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次。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名研究生在中国自然资源学会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年学术年会青年论文评</w:t>
      </w:r>
      <w:r>
        <w:rPr>
          <w:rFonts w:ascii="FangSong" w:hAnsi="FangSong" w:eastAsia="FangSong" w:cs="FangSong"/>
          <w:sz w:val="28"/>
          <w:szCs w:val="28"/>
        </w:rPr>
        <w:t>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中荣获“青</w:t>
      </w:r>
      <w:r>
        <w:rPr>
          <w:rFonts w:ascii="FangSong" w:hAnsi="FangSong" w:eastAsia="FangSong" w:cs="FangSong"/>
          <w:sz w:val="28"/>
          <w:szCs w:val="28"/>
          <w:spacing w:val="-1"/>
        </w:rPr>
        <w:t>年优秀论文奖”。</w:t>
      </w:r>
    </w:p>
    <w:p>
      <w:pPr>
        <w:ind w:left="702"/>
        <w:spacing w:before="1" w:line="220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年研究生参加国内学术交流并作报告情况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(见表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6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研</w:t>
      </w:r>
    </w:p>
    <w:p>
      <w:pPr>
        <w:ind w:left="144"/>
        <w:spacing w:before="210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究生</w:t>
      </w:r>
      <w:r>
        <w:rPr>
          <w:rFonts w:ascii="FangSong" w:hAnsi="FangSong" w:eastAsia="FangSong" w:cs="FangSong"/>
          <w:sz w:val="28"/>
          <w:szCs w:val="28"/>
          <w:spacing w:val="-3"/>
        </w:rPr>
        <w:t>参加国内学术会议或报告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(线上)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46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人次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(图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17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。</w:t>
      </w:r>
    </w:p>
    <w:p>
      <w:pPr>
        <w:ind w:left="1853"/>
        <w:spacing w:before="201" w:line="228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0"/>
        </w:rPr>
        <w:t>表</w:t>
      </w:r>
      <w:r>
        <w:rPr>
          <w:rFonts w:ascii="FangSong" w:hAnsi="FangSong" w:eastAsia="FangSong" w:cs="FangSong"/>
          <w:sz w:val="23"/>
          <w:szCs w:val="23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6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5"/>
        </w:rPr>
        <w:t>年研究生参加国内学术交流并作报告情况</w:t>
      </w:r>
    </w:p>
    <w:p>
      <w:pPr>
        <w:spacing w:line="147" w:lineRule="exact"/>
        <w:rPr/>
      </w:pPr>
      <w:r/>
    </w:p>
    <w:tbl>
      <w:tblPr>
        <w:tblStyle w:val="2"/>
        <w:tblW w:w="852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3"/>
        <w:gridCol w:w="682"/>
        <w:gridCol w:w="1099"/>
        <w:gridCol w:w="1659"/>
        <w:gridCol w:w="2292"/>
        <w:gridCol w:w="1184"/>
        <w:gridCol w:w="1077"/>
      </w:tblGrid>
      <w:tr>
        <w:trPr>
          <w:trHeight w:val="463" w:hRule="atLeast"/>
        </w:trPr>
        <w:tc>
          <w:tcPr>
            <w:tcW w:w="533" w:type="dxa"/>
            <w:vAlign w:val="top"/>
          </w:tcPr>
          <w:p>
            <w:pPr>
              <w:ind w:left="39"/>
              <w:spacing w:before="11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序号</w:t>
            </w:r>
          </w:p>
        </w:tc>
        <w:tc>
          <w:tcPr>
            <w:tcW w:w="682" w:type="dxa"/>
            <w:vAlign w:val="top"/>
          </w:tcPr>
          <w:p>
            <w:pPr>
              <w:ind w:left="116"/>
              <w:spacing w:before="11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度</w:t>
            </w:r>
          </w:p>
        </w:tc>
        <w:tc>
          <w:tcPr>
            <w:tcW w:w="1099" w:type="dxa"/>
            <w:vAlign w:val="top"/>
          </w:tcPr>
          <w:p>
            <w:pPr>
              <w:ind w:left="92"/>
              <w:spacing w:before="11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生姓名</w:t>
            </w:r>
          </w:p>
        </w:tc>
        <w:tc>
          <w:tcPr>
            <w:tcW w:w="1659" w:type="dxa"/>
            <w:vAlign w:val="top"/>
          </w:tcPr>
          <w:p>
            <w:pPr>
              <w:ind w:left="370"/>
              <w:spacing w:before="113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会议名称</w:t>
            </w:r>
          </w:p>
        </w:tc>
        <w:tc>
          <w:tcPr>
            <w:tcW w:w="2292" w:type="dxa"/>
            <w:vAlign w:val="top"/>
          </w:tcPr>
          <w:p>
            <w:pPr>
              <w:ind w:left="679"/>
              <w:spacing w:before="11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报告题目</w:t>
            </w:r>
          </w:p>
        </w:tc>
        <w:tc>
          <w:tcPr>
            <w:tcW w:w="1184" w:type="dxa"/>
            <w:vAlign w:val="top"/>
          </w:tcPr>
          <w:p>
            <w:pPr>
              <w:ind w:left="127"/>
              <w:spacing w:before="11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报告时间</w:t>
            </w:r>
          </w:p>
        </w:tc>
        <w:tc>
          <w:tcPr>
            <w:tcW w:w="1077" w:type="dxa"/>
            <w:vAlign w:val="top"/>
          </w:tcPr>
          <w:p>
            <w:pPr>
              <w:ind w:left="71"/>
              <w:spacing w:before="11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报告地点</w:t>
            </w:r>
          </w:p>
        </w:tc>
      </w:tr>
      <w:tr>
        <w:trPr>
          <w:trHeight w:val="937" w:hRule="atLeast"/>
        </w:trPr>
        <w:tc>
          <w:tcPr>
            <w:tcW w:w="53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3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682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0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022</w:t>
            </w:r>
          </w:p>
        </w:tc>
        <w:tc>
          <w:tcPr>
            <w:tcW w:w="109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02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廖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倩倩</w:t>
            </w:r>
          </w:p>
        </w:tc>
        <w:tc>
          <w:tcPr>
            <w:tcW w:w="1659" w:type="dxa"/>
            <w:vAlign w:val="top"/>
          </w:tcPr>
          <w:p>
            <w:pPr>
              <w:ind w:left="112"/>
              <w:spacing w:before="3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2022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《旅游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科</w:t>
            </w:r>
          </w:p>
          <w:p>
            <w:pPr>
              <w:ind w:left="27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学》中国旅游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研</w:t>
            </w:r>
          </w:p>
          <w:p>
            <w:pPr>
              <w:ind w:left="496"/>
              <w:spacing w:before="21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究年会</w:t>
            </w:r>
          </w:p>
        </w:tc>
        <w:tc>
          <w:tcPr>
            <w:tcW w:w="2292" w:type="dxa"/>
            <w:vAlign w:val="top"/>
          </w:tcPr>
          <w:p>
            <w:pPr>
              <w:ind w:left="79"/>
              <w:spacing w:before="3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于游客感知的滨海</w:t>
            </w:r>
          </w:p>
          <w:p>
            <w:pPr>
              <w:ind w:left="78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旅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游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吸引力研究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以</w:t>
            </w:r>
          </w:p>
          <w:p>
            <w:pPr>
              <w:ind w:left="566"/>
              <w:spacing w:before="22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亚市为例</w:t>
            </w:r>
          </w:p>
        </w:tc>
        <w:tc>
          <w:tcPr>
            <w:tcW w:w="118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22.7.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10</w:t>
            </w:r>
          </w:p>
        </w:tc>
        <w:tc>
          <w:tcPr>
            <w:tcW w:w="107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319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线上</w:t>
            </w:r>
          </w:p>
        </w:tc>
      </w:tr>
      <w:tr>
        <w:trPr>
          <w:trHeight w:val="938" w:hRule="atLeast"/>
        </w:trPr>
        <w:tc>
          <w:tcPr>
            <w:tcW w:w="53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20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682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0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022</w:t>
            </w:r>
          </w:p>
        </w:tc>
        <w:tc>
          <w:tcPr>
            <w:tcW w:w="109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02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廖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倩倩</w:t>
            </w:r>
          </w:p>
        </w:tc>
        <w:tc>
          <w:tcPr>
            <w:tcW w:w="1659" w:type="dxa"/>
            <w:vAlign w:val="top"/>
          </w:tcPr>
          <w:p>
            <w:pPr>
              <w:ind w:left="112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2022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《旅游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学</w:t>
            </w:r>
          </w:p>
          <w:p>
            <w:pPr>
              <w:ind w:left="19"/>
              <w:spacing w:before="23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刊》中国旅游研</w:t>
            </w:r>
          </w:p>
          <w:p>
            <w:pPr>
              <w:ind w:left="496"/>
              <w:spacing w:before="22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究年会</w:t>
            </w:r>
          </w:p>
        </w:tc>
        <w:tc>
          <w:tcPr>
            <w:tcW w:w="2292" w:type="dxa"/>
            <w:vAlign w:val="top"/>
          </w:tcPr>
          <w:p>
            <w:pPr>
              <w:ind w:left="79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于游客感知的滨海</w:t>
            </w:r>
          </w:p>
          <w:p>
            <w:pPr>
              <w:ind w:left="78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旅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游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吸引力研究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以</w:t>
            </w:r>
          </w:p>
          <w:p>
            <w:pPr>
              <w:ind w:left="566"/>
              <w:spacing w:before="21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亚市为例</w:t>
            </w:r>
          </w:p>
        </w:tc>
        <w:tc>
          <w:tcPr>
            <w:tcW w:w="1184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6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11.20</w:t>
            </w:r>
          </w:p>
        </w:tc>
        <w:tc>
          <w:tcPr>
            <w:tcW w:w="107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319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线上</w:t>
            </w:r>
          </w:p>
        </w:tc>
      </w:tr>
      <w:tr>
        <w:trPr>
          <w:trHeight w:val="941" w:hRule="atLeast"/>
        </w:trPr>
        <w:tc>
          <w:tcPr>
            <w:tcW w:w="533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682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00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022</w:t>
            </w:r>
          </w:p>
        </w:tc>
        <w:tc>
          <w:tcPr>
            <w:tcW w:w="109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玉霞</w:t>
            </w:r>
          </w:p>
        </w:tc>
        <w:tc>
          <w:tcPr>
            <w:tcW w:w="1659" w:type="dxa"/>
            <w:vAlign w:val="top"/>
          </w:tcPr>
          <w:p>
            <w:pPr>
              <w:ind w:left="125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海南省地质地</w:t>
            </w:r>
          </w:p>
          <w:p>
            <w:pPr>
              <w:ind w:left="12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学会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2022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年</w:t>
            </w:r>
          </w:p>
          <w:p>
            <w:pPr>
              <w:ind w:left="243"/>
              <w:spacing w:before="22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度学术年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会</w:t>
            </w:r>
          </w:p>
        </w:tc>
        <w:tc>
          <w:tcPr>
            <w:tcW w:w="2292" w:type="dxa"/>
            <w:vAlign w:val="top"/>
          </w:tcPr>
          <w:p>
            <w:pPr>
              <w:ind w:left="80"/>
              <w:spacing w:before="3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苦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豆子群落演替过程</w:t>
            </w:r>
          </w:p>
          <w:p>
            <w:pPr>
              <w:ind w:left="110"/>
              <w:spacing w:before="2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中土壤物理及化学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计</w:t>
            </w:r>
          </w:p>
          <w:p>
            <w:pPr>
              <w:ind w:left="323"/>
              <w:spacing w:before="24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量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特征变化规律</w:t>
            </w:r>
          </w:p>
        </w:tc>
        <w:tc>
          <w:tcPr>
            <w:tcW w:w="1184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10</w:t>
            </w:r>
          </w:p>
        </w:tc>
        <w:tc>
          <w:tcPr>
            <w:tcW w:w="107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319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线下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6" w:h="16839"/>
          <w:pgMar w:top="400" w:right="1687" w:bottom="1168" w:left="1687" w:header="0" w:footer="1008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170"/>
        <w:spacing w:line="7930" w:lineRule="exact"/>
        <w:textAlignment w:val="center"/>
        <w:rPr/>
      </w:pPr>
      <w:r>
        <w:drawing>
          <wp:inline distT="0" distB="0" distL="0" distR="0">
            <wp:extent cx="5323331" cy="5035296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3331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2556"/>
        <w:spacing w:before="74" w:line="231" w:lineRule="auto"/>
        <w:rPr>
          <w:rFonts w:ascii="FangSong" w:hAnsi="FangSong" w:eastAsia="FangSong" w:cs="FangSong"/>
          <w:sz w:val="23"/>
          <w:szCs w:val="23"/>
        </w:rPr>
      </w:pPr>
      <w:bookmarkStart w:name="_bookmark15" w:id="13"/>
      <w:bookmarkEnd w:id="13"/>
      <w:bookmarkStart w:name="_bookmark16" w:id="14"/>
      <w:bookmarkEnd w:id="14"/>
      <w:r>
        <w:rPr>
          <w:rFonts w:ascii="FangSong" w:hAnsi="FangSong" w:eastAsia="FangSong" w:cs="FangSong"/>
          <w:sz w:val="23"/>
          <w:szCs w:val="23"/>
          <w:spacing w:val="4"/>
        </w:rPr>
        <w:t>图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1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7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2"/>
        </w:rPr>
        <w:t>研究生参加国内学术交流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576"/>
        <w:spacing w:before="91" w:line="221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年邀请校外教师开展学术交流情况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(见表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7</w:t>
      </w:r>
      <w:r>
        <w:rPr>
          <w:rFonts w:ascii="FangSong" w:hAnsi="FangSong" w:eastAsia="FangSong" w:cs="FangSong"/>
          <w:sz w:val="28"/>
          <w:szCs w:val="28"/>
          <w:spacing w:val="2"/>
        </w:rPr>
        <w:t>)</w:t>
      </w:r>
    </w:p>
    <w:p>
      <w:pPr>
        <w:ind w:left="1875"/>
        <w:spacing w:before="204" w:line="22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5"/>
        </w:rPr>
        <w:t>表</w:t>
      </w:r>
      <w:r>
        <w:rPr>
          <w:rFonts w:ascii="FangSong" w:hAnsi="FangSong" w:eastAsia="FangSong" w:cs="FangSong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7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5"/>
        </w:rPr>
        <w:t>年邀请校外教师开展学术交流情</w:t>
      </w:r>
      <w:r>
        <w:rPr>
          <w:rFonts w:ascii="FangSong" w:hAnsi="FangSong" w:eastAsia="FangSong" w:cs="FangSong"/>
          <w:sz w:val="23"/>
          <w:szCs w:val="23"/>
          <w:spacing w:val="2"/>
        </w:rPr>
        <w:t>况</w:t>
      </w:r>
    </w:p>
    <w:tbl>
      <w:tblPr>
        <w:tblStyle w:val="2"/>
        <w:tblW w:w="7788" w:type="dxa"/>
        <w:tblInd w:w="27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54"/>
        <w:gridCol w:w="2937"/>
        <w:gridCol w:w="914"/>
        <w:gridCol w:w="1499"/>
        <w:gridCol w:w="1684"/>
      </w:tblGrid>
      <w:tr>
        <w:trPr>
          <w:trHeight w:val="476" w:hRule="atLeast"/>
        </w:trPr>
        <w:tc>
          <w:tcPr>
            <w:tcW w:w="75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序号</w:t>
            </w:r>
          </w:p>
        </w:tc>
        <w:tc>
          <w:tcPr>
            <w:tcW w:w="2937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999"/>
              <w:spacing w:before="276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讲座名称</w:t>
            </w:r>
          </w:p>
        </w:tc>
        <w:tc>
          <w:tcPr>
            <w:tcW w:w="2413" w:type="dxa"/>
            <w:vAlign w:val="top"/>
            <w:gridSpan w:val="2"/>
          </w:tcPr>
          <w:p>
            <w:pPr>
              <w:ind w:left="867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讲人</w:t>
            </w:r>
          </w:p>
        </w:tc>
        <w:tc>
          <w:tcPr>
            <w:tcW w:w="16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632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间</w:t>
            </w:r>
          </w:p>
        </w:tc>
      </w:tr>
      <w:tr>
        <w:trPr>
          <w:trHeight w:val="470" w:hRule="atLeast"/>
        </w:trPr>
        <w:tc>
          <w:tcPr>
            <w:tcW w:w="75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7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4" w:type="dxa"/>
            <w:vAlign w:val="top"/>
          </w:tcPr>
          <w:p>
            <w:pPr>
              <w:ind w:left="230"/>
              <w:spacing w:before="3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姓名</w:t>
            </w:r>
          </w:p>
        </w:tc>
        <w:tc>
          <w:tcPr>
            <w:tcW w:w="1499" w:type="dxa"/>
            <w:vAlign w:val="top"/>
          </w:tcPr>
          <w:p>
            <w:pPr>
              <w:ind w:left="291"/>
              <w:spacing w:before="36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工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作单位</w:t>
            </w:r>
          </w:p>
        </w:tc>
        <w:tc>
          <w:tcPr>
            <w:tcW w:w="16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57" w:hRule="atLeast"/>
        </w:trPr>
        <w:tc>
          <w:tcPr>
            <w:tcW w:w="754" w:type="dxa"/>
            <w:vAlign w:val="top"/>
          </w:tcPr>
          <w:p>
            <w:pPr>
              <w:ind w:left="342"/>
              <w:spacing w:before="2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2937" w:type="dxa"/>
            <w:vAlign w:val="top"/>
          </w:tcPr>
          <w:p>
            <w:pPr>
              <w:ind w:left="1246" w:right="28" w:hanging="1176"/>
              <w:spacing w:before="104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中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国产业发展与布局的关联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法则</w:t>
            </w:r>
          </w:p>
        </w:tc>
        <w:tc>
          <w:tcPr>
            <w:tcW w:w="914" w:type="dxa"/>
            <w:vAlign w:val="top"/>
          </w:tcPr>
          <w:p>
            <w:pPr>
              <w:ind w:left="117"/>
              <w:spacing w:before="25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贺灿飞</w:t>
            </w:r>
          </w:p>
        </w:tc>
        <w:tc>
          <w:tcPr>
            <w:tcW w:w="1499" w:type="dxa"/>
            <w:vAlign w:val="top"/>
          </w:tcPr>
          <w:p>
            <w:pPr>
              <w:ind w:left="292"/>
              <w:spacing w:before="25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北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京大学</w:t>
            </w:r>
          </w:p>
        </w:tc>
        <w:tc>
          <w:tcPr>
            <w:tcW w:w="1684" w:type="dxa"/>
            <w:vAlign w:val="top"/>
          </w:tcPr>
          <w:p>
            <w:pPr>
              <w:ind w:left="309"/>
              <w:spacing w:before="29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11.02</w:t>
            </w:r>
          </w:p>
        </w:tc>
      </w:tr>
      <w:tr>
        <w:trPr>
          <w:trHeight w:val="734" w:hRule="atLeast"/>
        </w:trPr>
        <w:tc>
          <w:tcPr>
            <w:tcW w:w="754" w:type="dxa"/>
            <w:vAlign w:val="top"/>
          </w:tcPr>
          <w:p>
            <w:pPr>
              <w:ind w:left="319"/>
              <w:spacing w:before="28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2937" w:type="dxa"/>
            <w:vAlign w:val="top"/>
          </w:tcPr>
          <w:p>
            <w:pPr>
              <w:ind w:left="1128" w:right="28" w:hanging="1068"/>
              <w:spacing w:before="91" w:line="25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区域生态安全格局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——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源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起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与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发展</w:t>
            </w:r>
          </w:p>
        </w:tc>
        <w:tc>
          <w:tcPr>
            <w:tcW w:w="914" w:type="dxa"/>
            <w:vAlign w:val="top"/>
          </w:tcPr>
          <w:p>
            <w:pPr>
              <w:ind w:left="233"/>
              <w:spacing w:before="247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彭建</w:t>
            </w:r>
          </w:p>
        </w:tc>
        <w:tc>
          <w:tcPr>
            <w:tcW w:w="1499" w:type="dxa"/>
            <w:vAlign w:val="top"/>
          </w:tcPr>
          <w:p>
            <w:pPr>
              <w:ind w:left="292"/>
              <w:spacing w:before="24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北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京大学</w:t>
            </w:r>
          </w:p>
        </w:tc>
        <w:tc>
          <w:tcPr>
            <w:tcW w:w="1684" w:type="dxa"/>
            <w:vAlign w:val="top"/>
          </w:tcPr>
          <w:p>
            <w:pPr>
              <w:ind w:left="309"/>
              <w:spacing w:before="28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11.09</w:t>
            </w:r>
          </w:p>
        </w:tc>
      </w:tr>
      <w:tr>
        <w:trPr>
          <w:trHeight w:val="746" w:hRule="atLeast"/>
        </w:trPr>
        <w:tc>
          <w:tcPr>
            <w:tcW w:w="754" w:type="dxa"/>
            <w:vAlign w:val="top"/>
          </w:tcPr>
          <w:p>
            <w:pPr>
              <w:ind w:left="324"/>
              <w:spacing w:before="29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937" w:type="dxa"/>
            <w:vAlign w:val="top"/>
          </w:tcPr>
          <w:p>
            <w:pPr>
              <w:ind w:left="878" w:right="28" w:hanging="839"/>
              <w:spacing w:before="100" w:line="25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于科学辩证视角的地理学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研究与学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习</w:t>
            </w:r>
          </w:p>
        </w:tc>
        <w:tc>
          <w:tcPr>
            <w:tcW w:w="914" w:type="dxa"/>
            <w:vAlign w:val="top"/>
          </w:tcPr>
          <w:p>
            <w:pPr>
              <w:ind w:left="112"/>
              <w:spacing w:before="25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汤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国安</w:t>
            </w:r>
          </w:p>
        </w:tc>
        <w:tc>
          <w:tcPr>
            <w:tcW w:w="1499" w:type="dxa"/>
            <w:vAlign w:val="top"/>
          </w:tcPr>
          <w:p>
            <w:pPr>
              <w:ind w:left="56"/>
              <w:spacing w:before="25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京师范大学</w:t>
            </w:r>
          </w:p>
        </w:tc>
        <w:tc>
          <w:tcPr>
            <w:tcW w:w="1684" w:type="dxa"/>
            <w:vAlign w:val="top"/>
          </w:tcPr>
          <w:p>
            <w:pPr>
              <w:ind w:left="309"/>
              <w:spacing w:before="2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9</w:t>
            </w:r>
          </w:p>
        </w:tc>
      </w:tr>
      <w:tr>
        <w:trPr>
          <w:trHeight w:val="794" w:hRule="atLeast"/>
        </w:trPr>
        <w:tc>
          <w:tcPr>
            <w:tcW w:w="75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31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2937" w:type="dxa"/>
            <w:vAlign w:val="top"/>
          </w:tcPr>
          <w:p>
            <w:pPr>
              <w:ind w:left="362" w:right="68" w:hanging="261"/>
              <w:spacing w:before="124" w:line="26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区域水循环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遥感大数据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关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键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特征数据集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-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云孪生</w:t>
            </w:r>
          </w:p>
        </w:tc>
        <w:tc>
          <w:tcPr>
            <w:tcW w:w="914" w:type="dxa"/>
            <w:vAlign w:val="top"/>
          </w:tcPr>
          <w:p>
            <w:pPr>
              <w:ind w:left="123"/>
              <w:spacing w:before="277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宫辉力</w:t>
            </w:r>
          </w:p>
        </w:tc>
        <w:tc>
          <w:tcPr>
            <w:tcW w:w="1499" w:type="dxa"/>
            <w:vAlign w:val="top"/>
          </w:tcPr>
          <w:p>
            <w:pPr>
              <w:ind w:left="53"/>
              <w:spacing w:before="277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首都师范大学</w:t>
            </w:r>
          </w:p>
        </w:tc>
        <w:tc>
          <w:tcPr>
            <w:tcW w:w="1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2.20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6" w:h="16839"/>
          <w:pgMar w:top="400" w:right="1566" w:bottom="1168" w:left="1785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7788" w:type="dxa"/>
        <w:tblInd w:w="27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54"/>
        <w:gridCol w:w="2937"/>
        <w:gridCol w:w="914"/>
        <w:gridCol w:w="1499"/>
        <w:gridCol w:w="1684"/>
      </w:tblGrid>
      <w:tr>
        <w:trPr>
          <w:trHeight w:val="942" w:hRule="atLeast"/>
        </w:trPr>
        <w:tc>
          <w:tcPr>
            <w:tcW w:w="75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32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bookmarkStart w:name="_bookmark17" w:id="15"/>
            <w:bookmarkEnd w:id="15"/>
            <w:bookmarkStart w:name="_bookmark18" w:id="16"/>
            <w:bookmarkEnd w:id="16"/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2937" w:type="dxa"/>
            <w:vAlign w:val="top"/>
          </w:tcPr>
          <w:p>
            <w:pPr>
              <w:ind w:left="1239" w:right="28" w:hanging="1196"/>
              <w:spacing w:before="195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卫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星遥感在水文学研究中的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应用</w:t>
            </w:r>
          </w:p>
        </w:tc>
        <w:tc>
          <w:tcPr>
            <w:tcW w:w="91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郑龙群</w:t>
            </w:r>
          </w:p>
        </w:tc>
        <w:tc>
          <w:tcPr>
            <w:tcW w:w="1499" w:type="dxa"/>
            <w:vAlign w:val="top"/>
          </w:tcPr>
          <w:p>
            <w:pPr>
              <w:ind w:left="56"/>
              <w:spacing w:before="41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京工程信息</w:t>
            </w:r>
          </w:p>
          <w:p>
            <w:pPr>
              <w:ind w:left="407" w:right="24" w:hanging="359"/>
              <w:spacing w:before="23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大学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(博士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在读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)</w:t>
            </w:r>
          </w:p>
        </w:tc>
        <w:tc>
          <w:tcPr>
            <w:tcW w:w="168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2.22</w:t>
            </w:r>
          </w:p>
        </w:tc>
      </w:tr>
      <w:tr>
        <w:trPr>
          <w:trHeight w:val="626" w:hRule="atLeast"/>
        </w:trPr>
        <w:tc>
          <w:tcPr>
            <w:tcW w:w="754" w:type="dxa"/>
            <w:vAlign w:val="top"/>
          </w:tcPr>
          <w:p>
            <w:pPr>
              <w:ind w:left="325"/>
              <w:spacing w:before="23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937" w:type="dxa"/>
            <w:vAlign w:val="top"/>
          </w:tcPr>
          <w:p>
            <w:pPr>
              <w:ind w:left="1368" w:right="28" w:hanging="1317"/>
              <w:spacing w:before="35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资源与环境问题的新挑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战</w:t>
            </w:r>
          </w:p>
        </w:tc>
        <w:tc>
          <w:tcPr>
            <w:tcW w:w="914" w:type="dxa"/>
            <w:vAlign w:val="top"/>
          </w:tcPr>
          <w:p>
            <w:pPr>
              <w:ind w:left="111"/>
              <w:spacing w:before="191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邹欣庆</w:t>
            </w:r>
          </w:p>
        </w:tc>
        <w:tc>
          <w:tcPr>
            <w:tcW w:w="1499" w:type="dxa"/>
            <w:vAlign w:val="top"/>
          </w:tcPr>
          <w:p>
            <w:pPr>
              <w:ind w:left="296"/>
              <w:spacing w:before="19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南京大学</w:t>
            </w:r>
          </w:p>
        </w:tc>
        <w:tc>
          <w:tcPr>
            <w:tcW w:w="1684" w:type="dxa"/>
            <w:vAlign w:val="top"/>
          </w:tcPr>
          <w:p>
            <w:pPr>
              <w:ind w:left="304"/>
              <w:spacing w:before="23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2.23</w:t>
            </w:r>
          </w:p>
        </w:tc>
      </w:tr>
      <w:tr>
        <w:trPr>
          <w:trHeight w:val="627" w:hRule="atLeast"/>
        </w:trPr>
        <w:tc>
          <w:tcPr>
            <w:tcW w:w="754" w:type="dxa"/>
            <w:vAlign w:val="top"/>
          </w:tcPr>
          <w:p>
            <w:pPr>
              <w:ind w:left="323"/>
              <w:spacing w:before="239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2937" w:type="dxa"/>
            <w:vAlign w:val="top"/>
          </w:tcPr>
          <w:p>
            <w:pPr>
              <w:ind w:left="1133" w:right="28" w:hanging="1092"/>
              <w:spacing w:before="38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遥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感云计算与时空大数据智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能解释</w:t>
            </w:r>
          </w:p>
        </w:tc>
        <w:tc>
          <w:tcPr>
            <w:tcW w:w="914" w:type="dxa"/>
            <w:vAlign w:val="top"/>
          </w:tcPr>
          <w:p>
            <w:pPr>
              <w:ind w:left="143"/>
              <w:spacing w:before="19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田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金炎</w:t>
            </w:r>
          </w:p>
        </w:tc>
        <w:tc>
          <w:tcPr>
            <w:tcW w:w="1499" w:type="dxa"/>
            <w:vAlign w:val="top"/>
          </w:tcPr>
          <w:p>
            <w:pPr>
              <w:ind w:left="53"/>
              <w:spacing w:before="19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首都师范大学</w:t>
            </w:r>
          </w:p>
        </w:tc>
        <w:tc>
          <w:tcPr>
            <w:tcW w:w="1684" w:type="dxa"/>
            <w:vAlign w:val="top"/>
          </w:tcPr>
          <w:p>
            <w:pPr>
              <w:ind w:left="304"/>
              <w:spacing w:before="235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2.26</w:t>
            </w:r>
          </w:p>
        </w:tc>
      </w:tr>
      <w:tr>
        <w:trPr>
          <w:trHeight w:val="630" w:hRule="atLeast"/>
        </w:trPr>
        <w:tc>
          <w:tcPr>
            <w:tcW w:w="754" w:type="dxa"/>
            <w:vAlign w:val="top"/>
          </w:tcPr>
          <w:p>
            <w:pPr>
              <w:ind w:left="329"/>
              <w:spacing w:before="235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937" w:type="dxa"/>
            <w:vAlign w:val="top"/>
          </w:tcPr>
          <w:p>
            <w:pPr>
              <w:ind w:left="999" w:right="28" w:hanging="956"/>
              <w:spacing w:before="39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类活动影响下的边缘海有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机碳埋藏</w:t>
            </w:r>
          </w:p>
        </w:tc>
        <w:tc>
          <w:tcPr>
            <w:tcW w:w="914" w:type="dxa"/>
            <w:vAlign w:val="top"/>
          </w:tcPr>
          <w:p>
            <w:pPr>
              <w:ind w:left="112"/>
              <w:spacing w:before="193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成龙</w:t>
            </w:r>
          </w:p>
        </w:tc>
        <w:tc>
          <w:tcPr>
            <w:tcW w:w="1499" w:type="dxa"/>
            <w:vAlign w:val="top"/>
          </w:tcPr>
          <w:p>
            <w:pPr>
              <w:ind w:left="296"/>
              <w:spacing w:before="19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南京大学</w:t>
            </w:r>
          </w:p>
        </w:tc>
        <w:tc>
          <w:tcPr>
            <w:tcW w:w="1684" w:type="dxa"/>
            <w:vAlign w:val="top"/>
          </w:tcPr>
          <w:p>
            <w:pPr>
              <w:ind w:left="304"/>
              <w:spacing w:before="23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14</w:t>
            </w:r>
          </w:p>
        </w:tc>
      </w:tr>
    </w:tbl>
    <w:p>
      <w:pPr>
        <w:spacing w:line="260" w:lineRule="auto"/>
        <w:rPr>
          <w:rFonts w:ascii="Arial"/>
          <w:sz w:val="21"/>
        </w:rPr>
      </w:pPr>
      <w:r/>
    </w:p>
    <w:p>
      <w:pPr>
        <w:ind w:left="582"/>
        <w:spacing w:before="91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年校内教师开展学术交流情况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(见表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</w:t>
      </w:r>
      <w:r>
        <w:rPr>
          <w:rFonts w:ascii="FangSong" w:hAnsi="FangSong" w:eastAsia="FangSong" w:cs="FangSong"/>
          <w:sz w:val="28"/>
          <w:szCs w:val="28"/>
        </w:rPr>
        <w:t>)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115"/>
        <w:spacing w:before="75" w:line="230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8"/>
        </w:rPr>
        <w:t>表</w:t>
      </w:r>
      <w:r>
        <w:rPr>
          <w:rFonts w:ascii="FangSong" w:hAnsi="FangSong" w:eastAsia="FangSong" w:cs="FangSong"/>
          <w:sz w:val="23"/>
          <w:szCs w:val="23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5"/>
        </w:rPr>
        <w:t>8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年校内教师开展学术交流情况</w:t>
      </w:r>
    </w:p>
    <w:p>
      <w:pPr>
        <w:spacing w:line="145" w:lineRule="exact"/>
        <w:rPr/>
      </w:pPr>
      <w:r/>
    </w:p>
    <w:tbl>
      <w:tblPr>
        <w:tblStyle w:val="2"/>
        <w:tblW w:w="7860" w:type="dxa"/>
        <w:tblInd w:w="23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0"/>
        <w:gridCol w:w="4428"/>
        <w:gridCol w:w="1198"/>
        <w:gridCol w:w="1414"/>
      </w:tblGrid>
      <w:tr>
        <w:trPr>
          <w:trHeight w:val="444" w:hRule="atLeast"/>
        </w:trPr>
        <w:tc>
          <w:tcPr>
            <w:tcW w:w="820" w:type="dxa"/>
            <w:vAlign w:val="top"/>
          </w:tcPr>
          <w:p>
            <w:pPr>
              <w:ind w:left="184"/>
              <w:spacing w:before="9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序号</w:t>
            </w:r>
          </w:p>
        </w:tc>
        <w:tc>
          <w:tcPr>
            <w:tcW w:w="4428" w:type="dxa"/>
            <w:vAlign w:val="top"/>
          </w:tcPr>
          <w:p>
            <w:pPr>
              <w:ind w:left="1746"/>
              <w:spacing w:before="100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讲座名称</w:t>
            </w:r>
          </w:p>
        </w:tc>
        <w:tc>
          <w:tcPr>
            <w:tcW w:w="1198" w:type="dxa"/>
            <w:vAlign w:val="top"/>
          </w:tcPr>
          <w:p>
            <w:pPr>
              <w:ind w:left="261"/>
              <w:spacing w:before="10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讲人</w:t>
            </w:r>
          </w:p>
        </w:tc>
        <w:tc>
          <w:tcPr>
            <w:tcW w:w="1414" w:type="dxa"/>
            <w:vAlign w:val="top"/>
          </w:tcPr>
          <w:p>
            <w:pPr>
              <w:ind w:left="496"/>
              <w:spacing w:before="10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7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间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76"/>
              <w:spacing w:before="15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4428" w:type="dxa"/>
            <w:vAlign w:val="top"/>
          </w:tcPr>
          <w:p>
            <w:pPr>
              <w:ind w:left="1210"/>
              <w:spacing w:before="10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选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对出路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实现梦想</w:t>
            </w:r>
          </w:p>
        </w:tc>
        <w:tc>
          <w:tcPr>
            <w:tcW w:w="1198" w:type="dxa"/>
            <w:vAlign w:val="top"/>
          </w:tcPr>
          <w:p>
            <w:pPr>
              <w:ind w:left="256"/>
              <w:spacing w:before="110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郑海妹</w:t>
            </w:r>
          </w:p>
        </w:tc>
        <w:tc>
          <w:tcPr>
            <w:tcW w:w="1414" w:type="dxa"/>
            <w:vAlign w:val="top"/>
          </w:tcPr>
          <w:p>
            <w:pPr>
              <w:ind w:left="169"/>
              <w:spacing w:before="15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14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53"/>
              <w:spacing w:before="15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4428" w:type="dxa"/>
            <w:vAlign w:val="top"/>
          </w:tcPr>
          <w:p>
            <w:pPr>
              <w:ind w:left="814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产高分专项系列卫星介绍</w:t>
            </w:r>
          </w:p>
        </w:tc>
        <w:tc>
          <w:tcPr>
            <w:tcW w:w="1198" w:type="dxa"/>
            <w:vAlign w:val="top"/>
          </w:tcPr>
          <w:p>
            <w:pPr>
              <w:ind w:left="380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李婷</w:t>
            </w:r>
          </w:p>
        </w:tc>
        <w:tc>
          <w:tcPr>
            <w:tcW w:w="1414" w:type="dxa"/>
            <w:vAlign w:val="top"/>
          </w:tcPr>
          <w:p>
            <w:pPr>
              <w:ind w:left="169"/>
              <w:spacing w:before="15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2.02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58"/>
              <w:spacing w:before="15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4428" w:type="dxa"/>
            <w:vAlign w:val="top"/>
          </w:tcPr>
          <w:p>
            <w:pPr>
              <w:ind w:left="814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国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内外人口迁移的地区差异</w:t>
            </w:r>
          </w:p>
        </w:tc>
        <w:tc>
          <w:tcPr>
            <w:tcW w:w="1198" w:type="dxa"/>
            <w:vAlign w:val="top"/>
          </w:tcPr>
          <w:p>
            <w:pPr>
              <w:ind w:left="387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陈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妍</w:t>
            </w:r>
          </w:p>
        </w:tc>
        <w:tc>
          <w:tcPr>
            <w:tcW w:w="1414" w:type="dxa"/>
            <w:vAlign w:val="top"/>
          </w:tcPr>
          <w:p>
            <w:pPr>
              <w:ind w:left="169"/>
              <w:spacing w:before="15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2.01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52"/>
              <w:spacing w:before="15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4428" w:type="dxa"/>
            <w:vAlign w:val="top"/>
          </w:tcPr>
          <w:p>
            <w:pPr>
              <w:ind w:left="1519"/>
              <w:spacing w:before="10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GPS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实践指导</w:t>
            </w:r>
          </w:p>
        </w:tc>
        <w:tc>
          <w:tcPr>
            <w:tcW w:w="1198" w:type="dxa"/>
            <w:vAlign w:val="top"/>
          </w:tcPr>
          <w:p>
            <w:pPr>
              <w:ind w:left="255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晓静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11.30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59"/>
              <w:spacing w:before="15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4428" w:type="dxa"/>
            <w:vAlign w:val="top"/>
          </w:tcPr>
          <w:p>
            <w:pPr>
              <w:ind w:left="666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水资源系统研究：发展与挑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战</w:t>
            </w:r>
          </w:p>
        </w:tc>
        <w:tc>
          <w:tcPr>
            <w:tcW w:w="1198" w:type="dxa"/>
            <w:vAlign w:val="top"/>
          </w:tcPr>
          <w:p>
            <w:pPr>
              <w:ind w:left="260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李大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龙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11.28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58"/>
              <w:spacing w:before="15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4428" w:type="dxa"/>
            <w:vAlign w:val="top"/>
          </w:tcPr>
          <w:p>
            <w:pPr>
              <w:ind w:left="1148"/>
              <w:spacing w:before="111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项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目申请书撰写技巧</w:t>
            </w:r>
          </w:p>
        </w:tc>
        <w:tc>
          <w:tcPr>
            <w:tcW w:w="1198" w:type="dxa"/>
            <w:vAlign w:val="top"/>
          </w:tcPr>
          <w:p>
            <w:pPr>
              <w:ind w:left="376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11.26</w:t>
            </w:r>
          </w:p>
        </w:tc>
      </w:tr>
      <w:tr>
        <w:trPr>
          <w:trHeight w:val="626" w:hRule="atLeast"/>
        </w:trPr>
        <w:tc>
          <w:tcPr>
            <w:tcW w:w="820" w:type="dxa"/>
            <w:vAlign w:val="top"/>
          </w:tcPr>
          <w:p>
            <w:pPr>
              <w:ind w:left="357"/>
              <w:spacing w:before="23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4428" w:type="dxa"/>
            <w:vAlign w:val="top"/>
          </w:tcPr>
          <w:p>
            <w:pPr>
              <w:ind w:left="1747" w:right="171" w:hanging="1558"/>
              <w:spacing w:before="35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海南岛东部砂质海岸线演变过程与驱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机制研究</w:t>
            </w:r>
          </w:p>
        </w:tc>
        <w:tc>
          <w:tcPr>
            <w:tcW w:w="1198" w:type="dxa"/>
            <w:vAlign w:val="top"/>
          </w:tcPr>
          <w:p>
            <w:pPr>
              <w:ind w:left="263"/>
              <w:spacing w:before="19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丁圆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婷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2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11.26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63"/>
              <w:spacing w:before="154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4428" w:type="dxa"/>
            <w:vAlign w:val="top"/>
          </w:tcPr>
          <w:p>
            <w:pPr>
              <w:ind w:left="1386"/>
              <w:spacing w:before="11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水环境研究进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展</w:t>
            </w:r>
          </w:p>
        </w:tc>
        <w:tc>
          <w:tcPr>
            <w:tcW w:w="1198" w:type="dxa"/>
            <w:vAlign w:val="top"/>
          </w:tcPr>
          <w:p>
            <w:pPr>
              <w:ind w:left="254"/>
              <w:spacing w:before="11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云霞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11.25</w:t>
            </w:r>
          </w:p>
        </w:tc>
      </w:tr>
      <w:tr>
        <w:trPr>
          <w:trHeight w:val="628" w:hRule="atLeast"/>
        </w:trPr>
        <w:tc>
          <w:tcPr>
            <w:tcW w:w="820" w:type="dxa"/>
            <w:vAlign w:val="top"/>
          </w:tcPr>
          <w:p>
            <w:pPr>
              <w:ind w:left="358"/>
              <w:spacing w:before="23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4428" w:type="dxa"/>
            <w:vAlign w:val="top"/>
          </w:tcPr>
          <w:p>
            <w:pPr>
              <w:ind w:left="1145" w:right="171" w:hanging="949"/>
              <w:spacing w:before="39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气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候变暖背景下云下蒸发对中亚天山降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水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同位素的影响研究</w:t>
            </w:r>
          </w:p>
        </w:tc>
        <w:tc>
          <w:tcPr>
            <w:tcW w:w="1198" w:type="dxa"/>
            <w:vAlign w:val="top"/>
          </w:tcPr>
          <w:p>
            <w:pPr>
              <w:ind w:left="267"/>
              <w:spacing w:before="19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陈海燕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23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11.25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153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  <w:tc>
          <w:tcPr>
            <w:tcW w:w="4428" w:type="dxa"/>
            <w:vAlign w:val="top"/>
          </w:tcPr>
          <w:p>
            <w:pPr>
              <w:ind w:left="670"/>
              <w:spacing w:before="111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5"/>
              </w:rPr>
              <w:t>土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壤氮初级转化速率测定方法</w:t>
            </w:r>
          </w:p>
        </w:tc>
        <w:tc>
          <w:tcPr>
            <w:tcW w:w="1198" w:type="dxa"/>
            <w:vAlign w:val="top"/>
          </w:tcPr>
          <w:p>
            <w:pPr>
              <w:ind w:left="376"/>
              <w:spacing w:before="1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11.23</w:t>
            </w:r>
          </w:p>
        </w:tc>
      </w:tr>
      <w:tr>
        <w:trPr>
          <w:trHeight w:val="626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2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2</w:t>
            </w:r>
          </w:p>
        </w:tc>
        <w:tc>
          <w:tcPr>
            <w:tcW w:w="4428" w:type="dxa"/>
            <w:vAlign w:val="top"/>
          </w:tcPr>
          <w:p>
            <w:pPr>
              <w:ind w:left="1871" w:right="171" w:hanging="1685"/>
              <w:spacing w:before="37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从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党章的视角一起探索中国共产党的成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功之道</w:t>
            </w:r>
          </w:p>
        </w:tc>
        <w:tc>
          <w:tcPr>
            <w:tcW w:w="1198" w:type="dxa"/>
            <w:vAlign w:val="top"/>
          </w:tcPr>
          <w:p>
            <w:pPr>
              <w:ind w:left="380"/>
              <w:spacing w:before="19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李瑶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2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11.22</w:t>
            </w:r>
          </w:p>
        </w:tc>
      </w:tr>
      <w:tr>
        <w:trPr>
          <w:trHeight w:val="627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23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3</w:t>
            </w:r>
          </w:p>
        </w:tc>
        <w:tc>
          <w:tcPr>
            <w:tcW w:w="4428" w:type="dxa"/>
            <w:vAlign w:val="top"/>
          </w:tcPr>
          <w:p>
            <w:pPr>
              <w:ind w:left="2120" w:right="171" w:hanging="1931"/>
              <w:spacing w:before="38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海口城市公园绿地的可达性与公平性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198" w:type="dxa"/>
            <w:vAlign w:val="top"/>
          </w:tcPr>
          <w:p>
            <w:pPr>
              <w:ind w:left="257"/>
              <w:spacing w:before="193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235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11.21</w:t>
            </w:r>
          </w:p>
        </w:tc>
      </w:tr>
      <w:tr>
        <w:trPr>
          <w:trHeight w:val="626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235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6</w:t>
            </w:r>
          </w:p>
        </w:tc>
        <w:tc>
          <w:tcPr>
            <w:tcW w:w="4428" w:type="dxa"/>
            <w:vAlign w:val="top"/>
          </w:tcPr>
          <w:p>
            <w:pPr>
              <w:ind w:left="1628" w:right="171" w:hanging="1396"/>
              <w:spacing w:before="40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自然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学类科技论文写作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以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自然地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理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专业为例</w:t>
            </w:r>
          </w:p>
        </w:tc>
        <w:tc>
          <w:tcPr>
            <w:tcW w:w="1198" w:type="dxa"/>
            <w:vAlign w:val="top"/>
          </w:tcPr>
          <w:p>
            <w:pPr>
              <w:ind w:left="256"/>
              <w:spacing w:before="193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杨艳丽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23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7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15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7</w:t>
            </w:r>
          </w:p>
        </w:tc>
        <w:tc>
          <w:tcPr>
            <w:tcW w:w="4428" w:type="dxa"/>
            <w:vAlign w:val="top"/>
          </w:tcPr>
          <w:p>
            <w:pPr>
              <w:ind w:left="189"/>
              <w:spacing w:before="117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海口市乡村公共医疗服务的可达性研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究</w:t>
            </w:r>
          </w:p>
        </w:tc>
        <w:tc>
          <w:tcPr>
            <w:tcW w:w="1198" w:type="dxa"/>
            <w:vAlign w:val="top"/>
          </w:tcPr>
          <w:p>
            <w:pPr>
              <w:ind w:left="257"/>
              <w:spacing w:before="116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1414" w:type="dxa"/>
            <w:vAlign w:val="top"/>
          </w:tcPr>
          <w:p>
            <w:pPr>
              <w:ind w:left="173"/>
              <w:spacing w:before="15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2022.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7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6"/>
              </w:rPr>
              <w:t>3</w:t>
            </w:r>
          </w:p>
        </w:tc>
      </w:tr>
      <w:tr>
        <w:trPr>
          <w:trHeight w:val="467" w:hRule="atLeast"/>
        </w:trPr>
        <w:tc>
          <w:tcPr>
            <w:tcW w:w="820" w:type="dxa"/>
            <w:vAlign w:val="top"/>
          </w:tcPr>
          <w:p>
            <w:pPr>
              <w:ind w:left="316"/>
              <w:spacing w:before="15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9</w:t>
            </w:r>
          </w:p>
        </w:tc>
        <w:tc>
          <w:tcPr>
            <w:tcW w:w="4428" w:type="dxa"/>
            <w:vAlign w:val="top"/>
          </w:tcPr>
          <w:p>
            <w:pPr>
              <w:ind w:left="1150"/>
              <w:spacing w:before="11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土壤优先流研究进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展</w:t>
            </w:r>
          </w:p>
        </w:tc>
        <w:tc>
          <w:tcPr>
            <w:tcW w:w="1198" w:type="dxa"/>
            <w:vAlign w:val="top"/>
          </w:tcPr>
          <w:p>
            <w:pPr>
              <w:ind w:left="376"/>
              <w:spacing w:before="11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韩瑛</w:t>
            </w:r>
          </w:p>
        </w:tc>
        <w:tc>
          <w:tcPr>
            <w:tcW w:w="1414" w:type="dxa"/>
            <w:vAlign w:val="top"/>
          </w:tcPr>
          <w:p>
            <w:pPr>
              <w:ind w:left="169"/>
              <w:spacing w:before="15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2022.06.3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</w:t>
            </w:r>
          </w:p>
        </w:tc>
      </w:tr>
      <w:tr>
        <w:trPr>
          <w:trHeight w:val="471" w:hRule="atLeast"/>
        </w:trPr>
        <w:tc>
          <w:tcPr>
            <w:tcW w:w="820" w:type="dxa"/>
            <w:vAlign w:val="top"/>
          </w:tcPr>
          <w:p>
            <w:pPr>
              <w:ind w:left="293"/>
              <w:spacing w:before="15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</w:p>
        </w:tc>
        <w:tc>
          <w:tcPr>
            <w:tcW w:w="4428" w:type="dxa"/>
            <w:vAlign w:val="top"/>
          </w:tcPr>
          <w:p>
            <w:pPr>
              <w:ind w:left="129"/>
              <w:spacing w:before="11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未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来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正向我们走来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——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大学生就业指导</w:t>
            </w:r>
          </w:p>
        </w:tc>
        <w:tc>
          <w:tcPr>
            <w:tcW w:w="1198" w:type="dxa"/>
            <w:vAlign w:val="top"/>
          </w:tcPr>
          <w:p>
            <w:pPr>
              <w:ind w:left="257"/>
              <w:spacing w:before="11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军广</w:t>
            </w:r>
          </w:p>
        </w:tc>
        <w:tc>
          <w:tcPr>
            <w:tcW w:w="1414" w:type="dxa"/>
            <w:vAlign w:val="top"/>
          </w:tcPr>
          <w:p>
            <w:pPr>
              <w:ind w:left="169"/>
              <w:spacing w:before="15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2022.05.2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6" w:h="16839"/>
          <w:pgMar w:top="400" w:right="1785" w:bottom="1168" w:left="1785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75"/>
        <w:spacing w:before="91" w:line="545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9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19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4"/>
          <w:position w:val="19"/>
        </w:rPr>
        <w:t>黄政同学在中国</w:t>
      </w:r>
      <w:r>
        <w:rPr>
          <w:rFonts w:ascii="FangSong" w:hAnsi="FangSong" w:eastAsia="FangSong" w:cs="FangSong"/>
          <w:sz w:val="28"/>
          <w:szCs w:val="28"/>
          <w:spacing w:val="-2"/>
          <w:position w:val="19"/>
        </w:rPr>
        <w:t>自然资源学会</w:t>
      </w:r>
      <w:r>
        <w:rPr>
          <w:rFonts w:ascii="FangSong" w:hAnsi="FangSong" w:eastAsia="FangSong" w:cs="FangSong"/>
          <w:sz w:val="28"/>
          <w:szCs w:val="28"/>
          <w:spacing w:val="-2"/>
          <w:position w:val="1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19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  <w:position w:val="19"/>
        </w:rPr>
        <w:t>年学术年会青年论文评选</w:t>
      </w:r>
    </w:p>
    <w:p>
      <w:pPr>
        <w:ind w:left="66"/>
        <w:spacing w:before="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中荣获“青年优秀论文奖”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(图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18</w:t>
      </w:r>
      <w:r>
        <w:rPr>
          <w:rFonts w:ascii="FangSong" w:hAnsi="FangSong" w:eastAsia="FangSong" w:cs="FangSong"/>
          <w:sz w:val="28"/>
          <w:szCs w:val="28"/>
          <w:spacing w:val="-6"/>
        </w:rPr>
        <w:t>)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。</w:t>
      </w:r>
    </w:p>
    <w:p>
      <w:pPr>
        <w:ind w:firstLine="674"/>
        <w:spacing w:before="175" w:line="4918" w:lineRule="exact"/>
        <w:textAlignment w:val="center"/>
        <w:rPr/>
      </w:pPr>
      <w:r>
        <w:drawing>
          <wp:inline distT="0" distB="0" distL="0" distR="0">
            <wp:extent cx="4468367" cy="3122676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8367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77"/>
        <w:spacing w:before="274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3"/>
        </w:rPr>
        <w:t>图</w:t>
      </w:r>
      <w:r>
        <w:rPr>
          <w:rFonts w:ascii="FangSong" w:hAnsi="FangSong" w:eastAsia="FangSong" w:cs="FangSong"/>
          <w:sz w:val="23"/>
          <w:szCs w:val="23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18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-3"/>
        </w:rPr>
        <w:t>学生获奖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589"/>
        <w:spacing w:before="91" w:line="221" w:lineRule="auto"/>
        <w:rPr>
          <w:rFonts w:ascii="SimSun" w:hAnsi="SimSun" w:eastAsia="SimSun" w:cs="SimSun"/>
          <w:sz w:val="28"/>
          <w:szCs w:val="28"/>
        </w:rPr>
      </w:pPr>
      <w:bookmarkStart w:name="_bookmark19" w:id="17"/>
      <w:bookmarkEnd w:id="17"/>
      <w:bookmarkStart w:name="_bookmark20" w:id="18"/>
      <w:bookmarkEnd w:id="18"/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六)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论文质量</w:t>
      </w:r>
    </w:p>
    <w:p>
      <w:pPr>
        <w:ind w:left="29" w:firstLine="558"/>
        <w:spacing w:before="21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硕士学位论文</w:t>
      </w:r>
      <w:r>
        <w:rPr>
          <w:rFonts w:ascii="FangSong" w:hAnsi="FangSong" w:eastAsia="FangSong" w:cs="FangSong"/>
          <w:sz w:val="28"/>
          <w:szCs w:val="28"/>
          <w:spacing w:val="-4"/>
        </w:rPr>
        <w:t>开</w:t>
      </w:r>
      <w:r>
        <w:rPr>
          <w:rFonts w:ascii="FangSong" w:hAnsi="FangSong" w:eastAsia="FangSong" w:cs="FangSong"/>
          <w:sz w:val="28"/>
          <w:szCs w:val="28"/>
          <w:spacing w:val="-3"/>
        </w:rPr>
        <w:t>题按照《海南师范大学研究生学位论文开题报告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暂行规定》</w:t>
      </w:r>
      <w:r>
        <w:rPr>
          <w:rFonts w:ascii="FangSong" w:hAnsi="FangSong" w:eastAsia="FangSong" w:cs="FangSong"/>
          <w:sz w:val="28"/>
          <w:szCs w:val="28"/>
          <w:spacing w:val="-5"/>
        </w:rPr>
        <w:t>执</w:t>
      </w:r>
      <w:r>
        <w:rPr>
          <w:rFonts w:ascii="FangSong" w:hAnsi="FangSong" w:eastAsia="FangSong" w:cs="FangSong"/>
          <w:sz w:val="28"/>
          <w:szCs w:val="28"/>
          <w:spacing w:val="-3"/>
        </w:rPr>
        <w:t>行。论文工作进行到中期，学位点公开举行论文工作中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期进展汇报</w:t>
      </w:r>
      <w:r>
        <w:rPr>
          <w:rFonts w:ascii="FangSong" w:hAnsi="FangSong" w:eastAsia="FangSong" w:cs="FangSong"/>
          <w:sz w:val="28"/>
          <w:szCs w:val="28"/>
          <w:spacing w:val="-5"/>
        </w:rPr>
        <w:t>会</w:t>
      </w:r>
      <w:r>
        <w:rPr>
          <w:rFonts w:ascii="FangSong" w:hAnsi="FangSong" w:eastAsia="FangSong" w:cs="FangSong"/>
          <w:sz w:val="28"/>
          <w:szCs w:val="28"/>
          <w:spacing w:val="-3"/>
        </w:rPr>
        <w:t>，由硕士研究生向指导教师和有关专家参加。论文具体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标准和格式要求按《海南师范大学博士、硕士学位论文规范》执</w:t>
      </w:r>
      <w:r>
        <w:rPr>
          <w:rFonts w:ascii="FangSong" w:hAnsi="FangSong" w:eastAsia="FangSong" w:cs="FangSong"/>
          <w:sz w:val="28"/>
          <w:szCs w:val="28"/>
        </w:rPr>
        <w:t>行。</w:t>
      </w:r>
    </w:p>
    <w:p>
      <w:pPr>
        <w:ind w:left="30" w:right="48" w:firstLine="571"/>
        <w:spacing w:before="1" w:line="35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5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论文撰写完毕，通过审核和盲审评阅后，可提出答辩及学位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授予申请，根据《海南师范大学研究生学</w:t>
      </w:r>
      <w:r>
        <w:rPr>
          <w:rFonts w:ascii="FangSong" w:hAnsi="FangSong" w:eastAsia="FangSong" w:cs="FangSong"/>
          <w:sz w:val="28"/>
          <w:szCs w:val="28"/>
        </w:rPr>
        <w:t>位授予工作细则》执行。</w:t>
      </w:r>
    </w:p>
    <w:p>
      <w:pPr>
        <w:ind w:left="41" w:right="51" w:firstLine="553"/>
        <w:spacing w:before="3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通</w:t>
      </w:r>
      <w:r>
        <w:rPr>
          <w:rFonts w:ascii="FangSong" w:hAnsi="FangSong" w:eastAsia="FangSong" w:cs="FangSong"/>
          <w:sz w:val="28"/>
          <w:szCs w:val="28"/>
          <w:spacing w:val="-4"/>
        </w:rPr>
        <w:t>过答辩的学位论文，由硕士研究生按评阅人意见及答辩委员会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意见修改，定稿后印刷提交</w:t>
      </w:r>
      <w:r>
        <w:rPr>
          <w:rFonts w:ascii="FangSong" w:hAnsi="FangSong" w:eastAsia="FangSong" w:cs="FangSong"/>
          <w:sz w:val="28"/>
          <w:szCs w:val="28"/>
          <w:spacing w:val="-1"/>
        </w:rPr>
        <w:t>学校归档。</w:t>
      </w:r>
    </w:p>
    <w:p>
      <w:pPr>
        <w:ind w:left="32" w:right="50" w:firstLine="569"/>
        <w:spacing w:before="1" w:line="35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4"/>
        </w:rPr>
        <w:t>学</w:t>
      </w:r>
      <w:r>
        <w:rPr>
          <w:rFonts w:ascii="FangSong" w:hAnsi="FangSong" w:eastAsia="FangSong" w:cs="FangSong"/>
          <w:sz w:val="28"/>
          <w:szCs w:val="28"/>
          <w:spacing w:val="3"/>
        </w:rPr>
        <w:t>位点学位论文在各类论文抽检、评审中均合格。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3"/>
        </w:rPr>
        <w:t>年，地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理</w:t>
      </w:r>
      <w:r>
        <w:rPr>
          <w:rFonts w:ascii="FangSong" w:hAnsi="FangSong" w:eastAsia="FangSong" w:cs="FangSong"/>
          <w:sz w:val="28"/>
          <w:szCs w:val="28"/>
          <w:spacing w:val="-4"/>
        </w:rPr>
        <w:t>学硕士学位论文盲审平均分为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82.3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分。</w:t>
      </w:r>
    </w:p>
    <w:p>
      <w:pPr>
        <w:ind w:left="589"/>
        <w:spacing w:before="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七)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质量保证</w:t>
      </w:r>
    </w:p>
    <w:p>
      <w:pPr>
        <w:ind w:left="601"/>
        <w:spacing w:before="209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5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点遵循学科发展和人才培养规律，根据《关于进一步严格规</w:t>
      </w:r>
    </w:p>
    <w:p>
      <w:pPr>
        <w:sectPr>
          <w:footerReference w:type="default" r:id="rId50"/>
          <w:pgSz w:w="11906" w:h="16839"/>
          <w:pgMar w:top="400" w:right="1746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29" w:firstLine="16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范学位与</w:t>
      </w:r>
      <w:r>
        <w:rPr>
          <w:rFonts w:ascii="FangSong" w:hAnsi="FangSong" w:eastAsia="FangSong" w:cs="FangSong"/>
          <w:sz w:val="28"/>
          <w:szCs w:val="28"/>
          <w:spacing w:val="-3"/>
        </w:rPr>
        <w:t>研究生教育管理的若干意见》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(学位〔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2020</w:t>
      </w:r>
      <w:r>
        <w:rPr>
          <w:rFonts w:ascii="FangSong" w:hAnsi="FangSong" w:eastAsia="FangSong" w:cs="FangSong"/>
          <w:sz w:val="28"/>
          <w:szCs w:val="28"/>
          <w:spacing w:val="-3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号)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，制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定了与本单</w:t>
      </w:r>
      <w:r>
        <w:rPr>
          <w:rFonts w:ascii="FangSong" w:hAnsi="FangSong" w:eastAsia="FangSong" w:cs="FangSong"/>
          <w:sz w:val="28"/>
          <w:szCs w:val="28"/>
          <w:spacing w:val="-5"/>
        </w:rPr>
        <w:t>位</w:t>
      </w:r>
      <w:r>
        <w:rPr>
          <w:rFonts w:ascii="FangSong" w:hAnsi="FangSong" w:eastAsia="FangSong" w:cs="FangSong"/>
          <w:sz w:val="28"/>
          <w:szCs w:val="28"/>
          <w:spacing w:val="-3"/>
        </w:rPr>
        <w:t>办学定位及特色相一致的学位授予质量标准；二级培养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单位设立研</w:t>
      </w:r>
      <w:r>
        <w:rPr>
          <w:rFonts w:ascii="FangSong" w:hAnsi="FangSong" w:eastAsia="FangSong" w:cs="FangSong"/>
          <w:sz w:val="28"/>
          <w:szCs w:val="28"/>
          <w:spacing w:val="-5"/>
        </w:rPr>
        <w:t>究</w:t>
      </w:r>
      <w:r>
        <w:rPr>
          <w:rFonts w:ascii="FangSong" w:hAnsi="FangSong" w:eastAsia="FangSong" w:cs="FangSong"/>
          <w:sz w:val="28"/>
          <w:szCs w:val="28"/>
          <w:spacing w:val="-3"/>
        </w:rPr>
        <w:t>生培养指导机构，在校学位评定委员会指导下，负责落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实研究生</w:t>
      </w:r>
      <w:r>
        <w:rPr>
          <w:rFonts w:ascii="FangSong" w:hAnsi="FangSong" w:eastAsia="FangSong" w:cs="FangSong"/>
          <w:sz w:val="28"/>
          <w:szCs w:val="28"/>
          <w:spacing w:val="-5"/>
        </w:rPr>
        <w:t>培</w:t>
      </w:r>
      <w:r>
        <w:rPr>
          <w:rFonts w:ascii="FangSong" w:hAnsi="FangSong" w:eastAsia="FangSong" w:cs="FangSong"/>
          <w:sz w:val="28"/>
          <w:szCs w:val="28"/>
          <w:spacing w:val="-3"/>
        </w:rPr>
        <w:t>养方案、监督培养计划执行、指导课程教学、评价教学质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量等工作。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院将导师作为研究生培养第一责任人，要求他们严格把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关学位论文</w:t>
      </w:r>
      <w:r>
        <w:rPr>
          <w:rFonts w:ascii="FangSong" w:hAnsi="FangSong" w:eastAsia="FangSong" w:cs="FangSong"/>
          <w:sz w:val="28"/>
          <w:szCs w:val="28"/>
          <w:spacing w:val="-5"/>
        </w:rPr>
        <w:t>研</w:t>
      </w:r>
      <w:r>
        <w:rPr>
          <w:rFonts w:ascii="FangSong" w:hAnsi="FangSong" w:eastAsia="FangSong" w:cs="FangSong"/>
          <w:sz w:val="28"/>
          <w:szCs w:val="28"/>
          <w:spacing w:val="-3"/>
        </w:rPr>
        <w:t>究工作、写作发表、学术水平和学术规范性。学位论文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必</w:t>
      </w:r>
      <w:r>
        <w:rPr>
          <w:rFonts w:ascii="FangSong" w:hAnsi="FangSong" w:eastAsia="FangSong" w:cs="FangSong"/>
          <w:sz w:val="28"/>
          <w:szCs w:val="28"/>
          <w:spacing w:val="6"/>
        </w:rPr>
        <w:t>须通过两位校外专家盲审才能进行答辩。学位论文答辩委员会客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观、</w:t>
      </w:r>
      <w:r>
        <w:rPr>
          <w:rFonts w:ascii="FangSong" w:hAnsi="FangSong" w:eastAsia="FangSong" w:cs="FangSong"/>
          <w:sz w:val="28"/>
          <w:szCs w:val="28"/>
          <w:spacing w:val="-16"/>
        </w:rPr>
        <w:t>公</w:t>
      </w:r>
      <w:r>
        <w:rPr>
          <w:rFonts w:ascii="FangSong" w:hAnsi="FangSong" w:eastAsia="FangSong" w:cs="FangSong"/>
          <w:sz w:val="28"/>
          <w:szCs w:val="28"/>
          <w:spacing w:val="-9"/>
        </w:rPr>
        <w:t>正评价学位论文学术水平，切实承担学术评价、学风监督责任，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严格杜绝人</w:t>
      </w:r>
      <w:r>
        <w:rPr>
          <w:rFonts w:ascii="FangSong" w:hAnsi="FangSong" w:eastAsia="FangSong" w:cs="FangSong"/>
          <w:sz w:val="28"/>
          <w:szCs w:val="28"/>
          <w:spacing w:val="-5"/>
        </w:rPr>
        <w:t>情</w:t>
      </w:r>
      <w:r>
        <w:rPr>
          <w:rFonts w:ascii="FangSong" w:hAnsi="FangSong" w:eastAsia="FangSong" w:cs="FangSong"/>
          <w:sz w:val="28"/>
          <w:szCs w:val="28"/>
          <w:spacing w:val="-3"/>
        </w:rPr>
        <w:t>干扰。论文重复率检测等仅作为检查学术不端行为的辅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助手段，导</w:t>
      </w:r>
      <w:r>
        <w:rPr>
          <w:rFonts w:ascii="FangSong" w:hAnsi="FangSong" w:eastAsia="FangSong" w:cs="FangSong"/>
          <w:sz w:val="28"/>
          <w:szCs w:val="28"/>
          <w:spacing w:val="-5"/>
        </w:rPr>
        <w:t>师</w:t>
      </w:r>
      <w:r>
        <w:rPr>
          <w:rFonts w:ascii="FangSong" w:hAnsi="FangSong" w:eastAsia="FangSong" w:cs="FangSong"/>
          <w:sz w:val="28"/>
          <w:szCs w:val="28"/>
          <w:spacing w:val="-3"/>
        </w:rPr>
        <w:t>、学位论文答辩委员会、学位评定分委员会对学术水平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和学术规范性</w:t>
      </w:r>
      <w:r>
        <w:rPr>
          <w:rFonts w:ascii="FangSong" w:hAnsi="FangSong" w:eastAsia="FangSong" w:cs="FangSong"/>
          <w:sz w:val="28"/>
          <w:szCs w:val="28"/>
          <w:spacing w:val="-1"/>
        </w:rPr>
        <w:t>进行把关。</w:t>
      </w:r>
    </w:p>
    <w:p>
      <w:pPr>
        <w:ind w:left="589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八)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学风建设</w:t>
      </w:r>
    </w:p>
    <w:p>
      <w:pPr>
        <w:ind w:left="29" w:right="39" w:firstLine="561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本学位授</w:t>
      </w:r>
      <w:r>
        <w:rPr>
          <w:rFonts w:ascii="FangSong" w:hAnsi="FangSong" w:eastAsia="FangSong" w:cs="FangSong"/>
          <w:sz w:val="28"/>
          <w:szCs w:val="28"/>
          <w:spacing w:val="-3"/>
        </w:rPr>
        <w:t>权</w:t>
      </w:r>
      <w:r>
        <w:rPr>
          <w:rFonts w:ascii="FangSong" w:hAnsi="FangSong" w:eastAsia="FangSong" w:cs="FangSong"/>
          <w:sz w:val="28"/>
          <w:szCs w:val="28"/>
          <w:spacing w:val="-2"/>
        </w:rPr>
        <w:t>点依照学风建设实施意见规定，通过组织入学教育、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诚信承诺</w:t>
      </w:r>
      <w:r>
        <w:rPr>
          <w:rFonts w:ascii="FangSong" w:hAnsi="FangSong" w:eastAsia="FangSong" w:cs="FangSong"/>
          <w:sz w:val="28"/>
          <w:szCs w:val="28"/>
          <w:spacing w:val="-5"/>
        </w:rPr>
        <w:t>签</w:t>
      </w:r>
      <w:r>
        <w:rPr>
          <w:rFonts w:ascii="FangSong" w:hAnsi="FangSong" w:eastAsia="FangSong" w:cs="FangSong"/>
          <w:sz w:val="28"/>
          <w:szCs w:val="28"/>
          <w:spacing w:val="-3"/>
        </w:rPr>
        <w:t>名、学术道德报告、奖学金和论文答辩观摩、研究生学术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论坛等活动</w:t>
      </w:r>
      <w:r>
        <w:rPr>
          <w:rFonts w:ascii="FangSong" w:hAnsi="FangSong" w:eastAsia="FangSong" w:cs="FangSong"/>
          <w:sz w:val="28"/>
          <w:szCs w:val="28"/>
          <w:spacing w:val="-5"/>
        </w:rPr>
        <w:t>加</w:t>
      </w:r>
      <w:r>
        <w:rPr>
          <w:rFonts w:ascii="FangSong" w:hAnsi="FangSong" w:eastAsia="FangSong" w:cs="FangSong"/>
          <w:sz w:val="28"/>
          <w:szCs w:val="28"/>
          <w:spacing w:val="-3"/>
        </w:rPr>
        <w:t>强研究生学风建设，促进研究生学术道德水平提升，教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育活动覆盖</w:t>
      </w:r>
      <w:r>
        <w:rPr>
          <w:rFonts w:ascii="FangSong" w:hAnsi="FangSong" w:eastAsia="FangSong" w:cs="FangSong"/>
          <w:sz w:val="28"/>
          <w:szCs w:val="28"/>
          <w:spacing w:val="-5"/>
        </w:rPr>
        <w:t>全</w:t>
      </w:r>
      <w:r>
        <w:rPr>
          <w:rFonts w:ascii="FangSong" w:hAnsi="FangSong" w:eastAsia="FangSong" w:cs="FangSong"/>
          <w:sz w:val="28"/>
          <w:szCs w:val="28"/>
          <w:spacing w:val="-3"/>
        </w:rPr>
        <w:t>体研究生，同时通过党团活动促进学生自我约束和诚实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守</w:t>
      </w:r>
      <w:r>
        <w:rPr>
          <w:rFonts w:ascii="FangSong" w:hAnsi="FangSong" w:eastAsia="FangSong" w:cs="FangSong"/>
          <w:sz w:val="28"/>
          <w:szCs w:val="28"/>
          <w:spacing w:val="-5"/>
        </w:rPr>
        <w:t>信。</w:t>
      </w:r>
    </w:p>
    <w:p>
      <w:pPr>
        <w:ind w:left="24" w:right="52" w:firstLine="576"/>
        <w:spacing w:before="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校</w:t>
      </w:r>
      <w:r>
        <w:rPr>
          <w:rFonts w:ascii="FangSong" w:hAnsi="FangSong" w:eastAsia="FangSong" w:cs="FangSong"/>
          <w:sz w:val="28"/>
          <w:szCs w:val="28"/>
          <w:spacing w:val="-4"/>
        </w:rPr>
        <w:t>制定《学术不端行为处理规定，对于学术论文一稿多投和重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复发表、</w:t>
      </w:r>
      <w:r>
        <w:rPr>
          <w:rFonts w:ascii="FangSong" w:hAnsi="FangSong" w:eastAsia="FangSong" w:cs="FangSong"/>
          <w:sz w:val="28"/>
          <w:szCs w:val="28"/>
          <w:spacing w:val="-3"/>
        </w:rPr>
        <w:t>虚开或篡改发表学术论文的接受函、抄袭、剽窃他人的学术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成果等学术不</w:t>
      </w:r>
      <w:r>
        <w:rPr>
          <w:rFonts w:ascii="FangSong" w:hAnsi="FangSong" w:eastAsia="FangSong" w:cs="FangSong"/>
          <w:sz w:val="28"/>
          <w:szCs w:val="28"/>
          <w:spacing w:val="-2"/>
        </w:rPr>
        <w:t>端行为，采取暂缓授予其学位或不授予其学位的处分，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2022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年，本学位授</w:t>
      </w:r>
      <w:r>
        <w:rPr>
          <w:rFonts w:ascii="FangSong" w:hAnsi="FangSong" w:eastAsia="FangSong" w:cs="FangSong"/>
          <w:sz w:val="28"/>
          <w:szCs w:val="28"/>
          <w:spacing w:val="-2"/>
        </w:rPr>
        <w:t>予点的研究生没有出现任何学术不端行为。</w:t>
      </w:r>
    </w:p>
    <w:p>
      <w:pPr>
        <w:ind w:left="589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九)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就业发展</w:t>
      </w:r>
    </w:p>
    <w:p>
      <w:pPr>
        <w:ind w:left="32" w:firstLine="544"/>
        <w:spacing w:before="209" w:line="35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0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22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年学位点授予硕士学位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人，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人考取哈尔滨师范大学博士，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其余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人</w:t>
      </w:r>
      <w:r>
        <w:rPr>
          <w:rFonts w:ascii="FangSong" w:hAnsi="FangSong" w:eastAsia="FangSong" w:cs="FangSong"/>
          <w:sz w:val="28"/>
          <w:szCs w:val="28"/>
          <w:spacing w:val="-5"/>
        </w:rPr>
        <w:t>均</w:t>
      </w:r>
      <w:r>
        <w:rPr>
          <w:rFonts w:ascii="FangSong" w:hAnsi="FangSong" w:eastAsia="FangSong" w:cs="FangSong"/>
          <w:sz w:val="28"/>
          <w:szCs w:val="28"/>
          <w:spacing w:val="-4"/>
        </w:rPr>
        <w:t>已入职，初次就业率为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100%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。毕业的研究生综合素质、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专业水平和创新能力等赢得用人单位良好的口碑</w:t>
      </w:r>
      <w:r>
        <w:rPr>
          <w:rFonts w:ascii="FangSong" w:hAnsi="FangSong" w:eastAsia="FangSong" w:cs="FangSong"/>
          <w:sz w:val="28"/>
          <w:szCs w:val="28"/>
        </w:rPr>
        <w:t>。</w:t>
      </w:r>
    </w:p>
    <w:p>
      <w:pPr>
        <w:sectPr>
          <w:footerReference w:type="default" r:id="rId52"/>
          <w:pgSz w:w="11906" w:h="16839"/>
          <w:pgMar w:top="400" w:right="1714" w:bottom="1168" w:left="1785" w:header="0" w:footer="1008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787"/>
        <w:spacing w:before="114" w:line="232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12"/>
        </w:rPr>
        <w:t>四</w:t>
      </w:r>
      <w:r>
        <w:rPr>
          <w:rFonts w:ascii="SimHei" w:hAnsi="SimHei" w:eastAsia="SimHei" w:cs="SimHei"/>
          <w:sz w:val="35"/>
          <w:szCs w:val="35"/>
          <w:spacing w:val="8"/>
        </w:rPr>
        <w:t>、</w:t>
      </w:r>
      <w:r>
        <w:rPr>
          <w:rFonts w:ascii="SimHei" w:hAnsi="SimHei" w:eastAsia="SimHei" w:cs="SimHei"/>
          <w:sz w:val="35"/>
          <w:szCs w:val="35"/>
          <w:spacing w:val="6"/>
        </w:rPr>
        <w:t>研究生教育支撑条件</w:t>
      </w:r>
    </w:p>
    <w:p>
      <w:pPr>
        <w:ind w:left="691"/>
        <w:spacing w:before="25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一)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科学研究</w:t>
      </w:r>
    </w:p>
    <w:p>
      <w:pPr>
        <w:ind w:left="678"/>
        <w:spacing w:before="212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年学位点教师发表学术论文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24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篇，其中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SC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I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收录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篇，</w:t>
      </w:r>
    </w:p>
    <w:p>
      <w:pPr>
        <w:ind w:left="136" w:right="738"/>
        <w:spacing w:before="209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2"/>
        </w:rPr>
        <w:t>一区</w:t>
      </w:r>
      <w:r>
        <w:rPr>
          <w:rFonts w:ascii="FangSong" w:hAnsi="FangSong" w:eastAsia="FangSong" w:cs="FangSong"/>
          <w:sz w:val="28"/>
          <w:szCs w:val="28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TOP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篇，二区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TOP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篇，核心期刊论文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篇，高水平论文数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量相</w:t>
      </w:r>
      <w:r>
        <w:rPr>
          <w:rFonts w:ascii="FangSong" w:hAnsi="FangSong" w:eastAsia="FangSong" w:cs="FangSong"/>
          <w:sz w:val="28"/>
          <w:szCs w:val="28"/>
          <w:spacing w:val="-4"/>
        </w:rPr>
        <w:t>较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年明显提高。获批国家自然科学基金项目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项，海南省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重点</w:t>
      </w:r>
      <w:r>
        <w:rPr>
          <w:rFonts w:ascii="FangSong" w:hAnsi="FangSong" w:eastAsia="FangSong" w:cs="FangSong"/>
          <w:sz w:val="28"/>
          <w:szCs w:val="28"/>
          <w:spacing w:val="-7"/>
        </w:rPr>
        <w:t>研发项目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项，海南省自然科学基金项目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项，在研项目经费达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到</w:t>
      </w:r>
      <w:r>
        <w:rPr>
          <w:rFonts w:ascii="FangSong" w:hAnsi="FangSong" w:eastAsia="FangSong" w:cs="FangSong"/>
          <w:sz w:val="28"/>
          <w:szCs w:val="28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6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万元；横向项目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项。获得海南省自然科学奖三等奖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项，海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南省第十二次</w:t>
      </w:r>
      <w:r>
        <w:rPr>
          <w:rFonts w:ascii="FangSong" w:hAnsi="FangSong" w:eastAsia="FangSong" w:cs="FangSong"/>
          <w:sz w:val="28"/>
          <w:szCs w:val="28"/>
          <w:spacing w:val="-3"/>
        </w:rPr>
        <w:t>社会科学优秀成果奖论文三等奖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项。</w:t>
      </w:r>
    </w:p>
    <w:p>
      <w:pPr>
        <w:ind w:left="705"/>
        <w:spacing w:before="1" w:line="222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年新增科研项目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(见表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</w:t>
      </w:r>
      <w:r>
        <w:rPr>
          <w:rFonts w:ascii="FangSong" w:hAnsi="FangSong" w:eastAsia="FangSong" w:cs="FangSong"/>
          <w:sz w:val="28"/>
          <w:szCs w:val="28"/>
          <w:spacing w:val="-4"/>
        </w:rPr>
        <w:t>)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936"/>
        <w:spacing w:before="75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4"/>
        </w:rPr>
        <w:t>表</w:t>
      </w:r>
      <w:r>
        <w:rPr>
          <w:rFonts w:ascii="FangSong" w:hAnsi="FangSong" w:eastAsia="FangSong" w:cs="FangSong"/>
          <w:sz w:val="23"/>
          <w:szCs w:val="23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>9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2022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年新增科研项目</w:t>
      </w:r>
    </w:p>
    <w:p>
      <w:pPr>
        <w:spacing w:line="146" w:lineRule="exact"/>
        <w:rPr/>
      </w:pPr>
      <w:r/>
    </w:p>
    <w:tbl>
      <w:tblPr>
        <w:tblStyle w:val="2"/>
        <w:tblW w:w="91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9"/>
        <w:gridCol w:w="1274"/>
        <w:gridCol w:w="2739"/>
        <w:gridCol w:w="1349"/>
        <w:gridCol w:w="872"/>
        <w:gridCol w:w="1133"/>
        <w:gridCol w:w="1112"/>
      </w:tblGrid>
      <w:tr>
        <w:trPr>
          <w:trHeight w:val="633" w:hRule="atLeast"/>
        </w:trPr>
        <w:tc>
          <w:tcPr>
            <w:tcW w:w="679" w:type="dxa"/>
            <w:vAlign w:val="top"/>
            <w:textDirection w:val="tbRlV"/>
          </w:tcPr>
          <w:p>
            <w:pPr>
              <w:ind w:left="41"/>
              <w:spacing w:before="217" w:line="20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序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274" w:type="dxa"/>
            <w:vAlign w:val="top"/>
          </w:tcPr>
          <w:p>
            <w:pPr>
              <w:ind w:left="168"/>
              <w:spacing w:before="197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项目编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2739" w:type="dxa"/>
            <w:vAlign w:val="top"/>
          </w:tcPr>
          <w:p>
            <w:pPr>
              <w:ind w:left="903"/>
              <w:spacing w:before="197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项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目名称</w:t>
            </w:r>
          </w:p>
        </w:tc>
        <w:tc>
          <w:tcPr>
            <w:tcW w:w="1349" w:type="dxa"/>
            <w:vAlign w:val="top"/>
          </w:tcPr>
          <w:p>
            <w:pPr>
              <w:ind w:left="209"/>
              <w:spacing w:before="197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项目类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型</w:t>
            </w:r>
          </w:p>
        </w:tc>
        <w:tc>
          <w:tcPr>
            <w:tcW w:w="872" w:type="dxa"/>
            <w:vAlign w:val="top"/>
          </w:tcPr>
          <w:p>
            <w:pPr>
              <w:ind w:left="217"/>
              <w:spacing w:before="41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2"/>
                <w:position w:val="5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-1"/>
                <w:position w:val="5"/>
              </w:rPr>
              <w:t>持</w:t>
            </w:r>
          </w:p>
          <w:p>
            <w:pPr>
              <w:ind w:left="334"/>
              <w:spacing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人</w:t>
            </w:r>
          </w:p>
        </w:tc>
        <w:tc>
          <w:tcPr>
            <w:tcW w:w="1133" w:type="dxa"/>
            <w:vAlign w:val="top"/>
          </w:tcPr>
          <w:p>
            <w:pPr>
              <w:ind w:left="483" w:right="202" w:hanging="263"/>
              <w:spacing w:before="42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执行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间</w:t>
            </w:r>
          </w:p>
        </w:tc>
        <w:tc>
          <w:tcPr>
            <w:tcW w:w="1112" w:type="dxa"/>
            <w:vAlign w:val="top"/>
          </w:tcPr>
          <w:p>
            <w:pPr>
              <w:ind w:left="333" w:right="107" w:hanging="210"/>
              <w:spacing w:before="42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8"/>
              </w:rPr>
              <w:t>经费(</w:t>
            </w:r>
            <w:r>
              <w:rPr>
                <w:rFonts w:ascii="FangSong" w:hAnsi="FangSong" w:eastAsia="FangSong" w:cs="FangSong"/>
                <w:sz w:val="23"/>
                <w:szCs w:val="23"/>
                <w:spacing w:val="17"/>
              </w:rPr>
              <w:t>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元)</w:t>
            </w:r>
          </w:p>
        </w:tc>
      </w:tr>
      <w:tr>
        <w:trPr>
          <w:trHeight w:val="1250" w:hRule="atLeast"/>
        </w:trPr>
        <w:tc>
          <w:tcPr>
            <w:tcW w:w="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127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ind w:left="15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2261018</w:t>
            </w:r>
          </w:p>
        </w:tc>
        <w:tc>
          <w:tcPr>
            <w:tcW w:w="2739" w:type="dxa"/>
            <w:vAlign w:val="top"/>
          </w:tcPr>
          <w:p>
            <w:pPr>
              <w:ind w:left="185"/>
              <w:spacing w:before="190" w:line="21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热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带河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口固液悬浮体系</w:t>
            </w:r>
          </w:p>
          <w:p>
            <w:pPr>
              <w:ind w:left="206"/>
              <w:spacing w:line="32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>中钯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2"/>
              </w:rPr>
              <w:t>Pd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  <w:position w:val="2"/>
              </w:rPr>
              <w:t>的相间分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>配</w:t>
            </w:r>
          </w:p>
          <w:p>
            <w:pPr>
              <w:ind w:left="905"/>
              <w:spacing w:before="3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其模拟</w:t>
            </w:r>
          </w:p>
        </w:tc>
        <w:tc>
          <w:tcPr>
            <w:tcW w:w="13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09" w:right="191" w:firstLine="26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11"/>
              <w:spacing w:before="7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  <w:position w:val="4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4"/>
              </w:rPr>
              <w:t>玉</w:t>
            </w:r>
          </w:p>
          <w:p>
            <w:pPr>
              <w:ind w:left="334"/>
              <w:spacing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3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023.01.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01-2026.</w:t>
            </w:r>
          </w:p>
          <w:p>
            <w:pPr>
              <w:ind w:left="322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2.31</w:t>
            </w:r>
          </w:p>
        </w:tc>
        <w:tc>
          <w:tcPr>
            <w:tcW w:w="1112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ind w:left="44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</w:tr>
      <w:tr>
        <w:trPr>
          <w:trHeight w:val="1160" w:hRule="atLeast"/>
        </w:trPr>
        <w:tc>
          <w:tcPr>
            <w:tcW w:w="67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274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5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2261054</w:t>
            </w:r>
          </w:p>
        </w:tc>
        <w:tc>
          <w:tcPr>
            <w:tcW w:w="2739" w:type="dxa"/>
            <w:vAlign w:val="top"/>
          </w:tcPr>
          <w:p>
            <w:pPr>
              <w:ind w:left="184"/>
              <w:spacing w:before="14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南自贸港城乡公共医</w:t>
            </w:r>
          </w:p>
          <w:p>
            <w:pPr>
              <w:ind w:left="186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疗服务均等化及其空间</w:t>
            </w:r>
          </w:p>
          <w:p>
            <w:pPr>
              <w:ind w:left="910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响应研究</w:t>
            </w:r>
          </w:p>
        </w:tc>
        <w:tc>
          <w:tcPr>
            <w:tcW w:w="1349" w:type="dxa"/>
            <w:vAlign w:val="top"/>
          </w:tcPr>
          <w:p>
            <w:pPr>
              <w:ind w:left="209" w:right="191" w:firstLine="26"/>
              <w:spacing w:before="30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ind w:left="213"/>
              <w:spacing w:before="303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4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position w:val="4"/>
              </w:rPr>
              <w:t>金</w:t>
            </w:r>
          </w:p>
          <w:p>
            <w:pPr>
              <w:ind w:left="339"/>
              <w:spacing w:before="1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萍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8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023.01.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01-2026.</w:t>
            </w:r>
          </w:p>
          <w:p>
            <w:pPr>
              <w:ind w:left="322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2.31</w:t>
            </w:r>
          </w:p>
        </w:tc>
        <w:tc>
          <w:tcPr>
            <w:tcW w:w="1112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4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</w:tr>
      <w:tr>
        <w:trPr>
          <w:trHeight w:val="940" w:hRule="atLeast"/>
        </w:trPr>
        <w:tc>
          <w:tcPr>
            <w:tcW w:w="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274" w:type="dxa"/>
            <w:vAlign w:val="top"/>
          </w:tcPr>
          <w:p>
            <w:pPr>
              <w:ind w:left="142"/>
              <w:spacing w:before="80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ZDYF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02</w:t>
            </w:r>
          </w:p>
          <w:p>
            <w:pPr>
              <w:ind w:left="16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SHFZ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>05</w:t>
            </w:r>
          </w:p>
          <w:p>
            <w:pPr>
              <w:ind w:left="586"/>
              <w:spacing w:before="9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739" w:type="dxa"/>
            <w:vAlign w:val="top"/>
          </w:tcPr>
          <w:p>
            <w:pPr>
              <w:ind w:left="121"/>
              <w:spacing w:before="38" w:line="229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红树林主干食物链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PAEs</w:t>
            </w:r>
          </w:p>
          <w:p>
            <w:pPr>
              <w:ind w:left="134"/>
              <w:spacing w:before="26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的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营养级传递、模拟及其</w:t>
            </w:r>
          </w:p>
          <w:p>
            <w:pPr>
              <w:ind w:left="676"/>
              <w:spacing w:before="27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生态风险预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测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南省重</w:t>
            </w:r>
          </w:p>
          <w:p>
            <w:pPr>
              <w:ind w:left="221"/>
              <w:spacing w:before="23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研发项</w:t>
            </w:r>
          </w:p>
          <w:p>
            <w:pPr>
              <w:ind w:left="610"/>
              <w:spacing w:before="23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目</w:t>
            </w:r>
          </w:p>
        </w:tc>
        <w:tc>
          <w:tcPr>
            <w:tcW w:w="872" w:type="dxa"/>
            <w:vAlign w:val="top"/>
          </w:tcPr>
          <w:p>
            <w:pPr>
              <w:ind w:left="211"/>
              <w:spacing w:before="194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  <w:position w:val="4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4"/>
              </w:rPr>
              <w:t>玉</w:t>
            </w:r>
          </w:p>
          <w:p>
            <w:pPr>
              <w:ind w:left="334"/>
              <w:spacing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022.03.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.28</w:t>
            </w:r>
          </w:p>
        </w:tc>
        <w:tc>
          <w:tcPr>
            <w:tcW w:w="1112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44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30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1274" w:type="dxa"/>
            <w:vAlign w:val="top"/>
          </w:tcPr>
          <w:p>
            <w:pPr>
              <w:ind w:left="582" w:right="164" w:hanging="414"/>
              <w:spacing w:before="237" w:line="28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2739" w:type="dxa"/>
            <w:vAlign w:val="top"/>
          </w:tcPr>
          <w:p>
            <w:pPr>
              <w:ind w:left="196"/>
              <w:spacing w:before="39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生物炭配合硝化抑制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剂</w:t>
            </w:r>
          </w:p>
          <w:p>
            <w:pPr>
              <w:ind w:left="184"/>
              <w:spacing w:before="28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对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热带地区燥红壤氮素</w:t>
            </w:r>
          </w:p>
          <w:p>
            <w:pPr>
              <w:ind w:left="785"/>
              <w:spacing w:before="27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转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化的影响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12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50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</w:tr>
      <w:tr>
        <w:trPr>
          <w:trHeight w:val="1252" w:hRule="atLeast"/>
        </w:trPr>
        <w:tc>
          <w:tcPr>
            <w:tcW w:w="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7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127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581" w:right="164" w:hanging="419"/>
              <w:spacing w:before="66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739" w:type="dxa"/>
            <w:vAlign w:val="top"/>
          </w:tcPr>
          <w:p>
            <w:pPr>
              <w:ind w:left="191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星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地多源数据结合的海</w:t>
            </w:r>
          </w:p>
          <w:p>
            <w:pPr>
              <w:ind w:left="193"/>
              <w:spacing w:before="2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省近岸海域总悬浮物</w:t>
            </w:r>
          </w:p>
          <w:p>
            <w:pPr>
              <w:ind w:left="199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空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格局及其环境因素</w:t>
            </w:r>
          </w:p>
          <w:p>
            <w:pPr>
              <w:ind w:left="1141"/>
              <w:spacing w:before="25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19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7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  <w:position w:val="5"/>
              </w:rPr>
              <w:t>杜云</w:t>
            </w:r>
          </w:p>
          <w:p>
            <w:pPr>
              <w:ind w:left="341"/>
              <w:spacing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霞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3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503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127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65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9</w:t>
            </w:r>
          </w:p>
        </w:tc>
        <w:tc>
          <w:tcPr>
            <w:tcW w:w="2739" w:type="dxa"/>
            <w:vAlign w:val="top"/>
          </w:tcPr>
          <w:p>
            <w:pPr>
              <w:ind w:left="182"/>
              <w:spacing w:before="39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于二维变分模态分解</w:t>
            </w:r>
          </w:p>
          <w:p>
            <w:pPr>
              <w:ind w:left="196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的砖红壤优先流路径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特</w:t>
            </w:r>
          </w:p>
          <w:p>
            <w:pPr>
              <w:ind w:left="1023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征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研究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12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韩瑛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3" w:hRule="atLeast"/>
        </w:trPr>
        <w:tc>
          <w:tcPr>
            <w:tcW w:w="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285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127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</w:p>
        </w:tc>
        <w:tc>
          <w:tcPr>
            <w:tcW w:w="2739" w:type="dxa"/>
            <w:vAlign w:val="top"/>
          </w:tcPr>
          <w:p>
            <w:pPr>
              <w:ind w:left="222"/>
              <w:spacing w:line="318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  <w:position w:val="3"/>
              </w:rPr>
              <w:t>施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3"/>
              </w:rPr>
              <w:t>(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3"/>
              </w:rPr>
              <w:t>氮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3"/>
              </w:rPr>
              <w:t>肥对热带农田温</w:t>
            </w:r>
          </w:p>
          <w:p>
            <w:pPr>
              <w:ind w:left="200"/>
              <w:spacing w:before="3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室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气体排放影响及调控</w:t>
            </w:r>
          </w:p>
          <w:p>
            <w:pPr>
              <w:ind w:left="1141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ind w:left="214"/>
              <w:spacing w:before="197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position w:val="5"/>
              </w:rPr>
              <w:t>赵从</w:t>
            </w:r>
          </w:p>
          <w:p>
            <w:pPr>
              <w:ind w:left="331"/>
              <w:spacing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举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6" w:h="16839"/>
          <w:pgMar w:top="400" w:right="1058" w:bottom="1168" w:left="1684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9"/>
        <w:gridCol w:w="1274"/>
        <w:gridCol w:w="2739"/>
        <w:gridCol w:w="1349"/>
        <w:gridCol w:w="872"/>
        <w:gridCol w:w="1133"/>
        <w:gridCol w:w="1112"/>
      </w:tblGrid>
      <w:tr>
        <w:trPr>
          <w:trHeight w:val="1256" w:hRule="atLeast"/>
        </w:trPr>
        <w:tc>
          <w:tcPr>
            <w:tcW w:w="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9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12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</w:t>
            </w:r>
          </w:p>
        </w:tc>
        <w:tc>
          <w:tcPr>
            <w:tcW w:w="2739" w:type="dxa"/>
            <w:vAlign w:val="top"/>
          </w:tcPr>
          <w:p>
            <w:pPr>
              <w:ind w:left="187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面向自贸港的公共医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疗</w:t>
            </w:r>
          </w:p>
          <w:p>
            <w:pPr>
              <w:ind w:left="181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服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务空间响应机理及优</w:t>
            </w:r>
          </w:p>
          <w:p>
            <w:pPr>
              <w:ind w:left="183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化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以海口市为</w:t>
            </w:r>
          </w:p>
          <w:p>
            <w:pPr>
              <w:ind w:left="1261"/>
              <w:spacing w:before="2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例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19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13"/>
              <w:spacing w:before="7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  <w:position w:val="4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position w:val="4"/>
              </w:rPr>
              <w:t>金</w:t>
            </w:r>
          </w:p>
          <w:p>
            <w:pPr>
              <w:ind w:left="339"/>
              <w:spacing w:before="1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萍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3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0" w:hRule="atLeast"/>
        </w:trPr>
        <w:tc>
          <w:tcPr>
            <w:tcW w:w="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127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4</w:t>
            </w:r>
          </w:p>
        </w:tc>
        <w:tc>
          <w:tcPr>
            <w:tcW w:w="2739" w:type="dxa"/>
            <w:vAlign w:val="top"/>
          </w:tcPr>
          <w:p>
            <w:pPr>
              <w:ind w:left="183"/>
              <w:spacing w:before="3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政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策主导下海口市土地</w:t>
            </w:r>
          </w:p>
          <w:p>
            <w:pPr>
              <w:ind w:left="187"/>
              <w:spacing w:before="2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功能转型过程及效应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研</w:t>
            </w:r>
          </w:p>
          <w:p>
            <w:pPr>
              <w:ind w:left="1275"/>
              <w:spacing w:before="29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4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ind w:left="210"/>
              <w:spacing w:before="194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  <w:position w:val="4"/>
              </w:rPr>
              <w:t>杜文</w:t>
            </w:r>
          </w:p>
          <w:p>
            <w:pPr>
              <w:ind w:left="339"/>
              <w:spacing w:before="1" w:line="23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星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0" w:hRule="atLeast"/>
        </w:trPr>
        <w:tc>
          <w:tcPr>
            <w:tcW w:w="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  <w:tc>
          <w:tcPr>
            <w:tcW w:w="127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</w:t>
            </w:r>
          </w:p>
        </w:tc>
        <w:tc>
          <w:tcPr>
            <w:tcW w:w="2739" w:type="dxa"/>
            <w:vAlign w:val="top"/>
          </w:tcPr>
          <w:p>
            <w:pPr>
              <w:ind w:left="122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近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年海南岛东部砂质</w:t>
            </w:r>
          </w:p>
          <w:p>
            <w:pPr>
              <w:ind w:left="184"/>
              <w:spacing w:before="2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岸线演变过程与驱动</w:t>
            </w:r>
          </w:p>
          <w:p>
            <w:pPr>
              <w:ind w:left="902"/>
              <w:spacing w:before="26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机制研究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5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ind w:left="219"/>
              <w:spacing w:before="19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  <w:position w:val="5"/>
              </w:rPr>
              <w:t>丁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  <w:position w:val="5"/>
              </w:rPr>
              <w:t>圆</w:t>
            </w:r>
          </w:p>
          <w:p>
            <w:pPr>
              <w:ind w:left="329"/>
              <w:spacing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婷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4" w:hRule="atLeast"/>
        </w:trPr>
        <w:tc>
          <w:tcPr>
            <w:tcW w:w="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1"/>
              </w:rPr>
              <w:t>1</w:t>
            </w:r>
          </w:p>
        </w:tc>
        <w:tc>
          <w:tcPr>
            <w:tcW w:w="127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6</w:t>
            </w:r>
          </w:p>
        </w:tc>
        <w:tc>
          <w:tcPr>
            <w:tcW w:w="2739" w:type="dxa"/>
            <w:vAlign w:val="top"/>
          </w:tcPr>
          <w:p>
            <w:pPr>
              <w:ind w:left="187"/>
              <w:spacing w:before="40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公路驿站的优化布局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对</w:t>
            </w:r>
          </w:p>
          <w:p>
            <w:pPr>
              <w:ind w:left="204"/>
              <w:spacing w:before="27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乡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村振兴的促进相关研</w:t>
            </w:r>
          </w:p>
          <w:p>
            <w:pPr>
              <w:ind w:left="1275"/>
              <w:spacing w:before="2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349" w:type="dxa"/>
            <w:vAlign w:val="top"/>
          </w:tcPr>
          <w:p>
            <w:pPr>
              <w:ind w:left="210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15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68"/>
              <w:spacing w:before="2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872" w:type="dxa"/>
            <w:vAlign w:val="top"/>
          </w:tcPr>
          <w:p>
            <w:pPr>
              <w:ind w:left="215"/>
              <w:spacing w:before="19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  <w:position w:val="4"/>
              </w:rPr>
              <w:t>马</w:t>
            </w:r>
            <w:r>
              <w:rPr>
                <w:rFonts w:ascii="FangSong" w:hAnsi="FangSong" w:eastAsia="FangSong" w:cs="FangSong"/>
                <w:sz w:val="23"/>
                <w:szCs w:val="23"/>
                <w:position w:val="4"/>
              </w:rPr>
              <w:t>东</w:t>
            </w:r>
          </w:p>
          <w:p>
            <w:pPr>
              <w:ind w:left="331"/>
              <w:spacing w:before="1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来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1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46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</w:tbl>
    <w:p>
      <w:pPr>
        <w:spacing w:line="260" w:lineRule="auto"/>
        <w:rPr>
          <w:rFonts w:ascii="Arial"/>
          <w:sz w:val="21"/>
        </w:rPr>
      </w:pPr>
      <w:r/>
    </w:p>
    <w:p>
      <w:pPr>
        <w:ind w:left="678"/>
        <w:spacing w:before="91" w:line="220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4"/>
        </w:rPr>
        <w:t>在研科研项目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(见表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</w:t>
      </w:r>
      <w:r>
        <w:rPr>
          <w:rFonts w:ascii="FangSong" w:hAnsi="FangSong" w:eastAsia="FangSong" w:cs="FangSong"/>
          <w:sz w:val="28"/>
          <w:szCs w:val="28"/>
          <w:spacing w:val="-4"/>
        </w:rPr>
        <w:t>)</w:t>
      </w:r>
    </w:p>
    <w:p>
      <w:pPr>
        <w:ind w:left="3236"/>
        <w:spacing w:before="178" w:line="228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"/>
        </w:rPr>
        <w:t>表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10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</w:rPr>
        <w:t>在研科研项目</w:t>
      </w:r>
    </w:p>
    <w:p>
      <w:pPr>
        <w:spacing w:line="148" w:lineRule="exact"/>
        <w:rPr/>
      </w:pPr>
      <w:r/>
    </w:p>
    <w:tbl>
      <w:tblPr>
        <w:tblStyle w:val="2"/>
        <w:tblW w:w="921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9"/>
        <w:gridCol w:w="1276"/>
        <w:gridCol w:w="2647"/>
        <w:gridCol w:w="1373"/>
        <w:gridCol w:w="938"/>
        <w:gridCol w:w="1133"/>
        <w:gridCol w:w="1172"/>
      </w:tblGrid>
      <w:tr>
        <w:trPr>
          <w:trHeight w:val="633" w:hRule="atLeast"/>
        </w:trPr>
        <w:tc>
          <w:tcPr>
            <w:tcW w:w="679" w:type="dxa"/>
            <w:vAlign w:val="top"/>
            <w:textDirection w:val="tbRlV"/>
          </w:tcPr>
          <w:p>
            <w:pPr>
              <w:ind w:left="42"/>
              <w:spacing w:before="217" w:line="20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序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号</w:t>
            </w:r>
          </w:p>
        </w:tc>
        <w:tc>
          <w:tcPr>
            <w:tcW w:w="1276" w:type="dxa"/>
            <w:vAlign w:val="top"/>
          </w:tcPr>
          <w:p>
            <w:pPr>
              <w:ind w:left="170"/>
              <w:spacing w:before="198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项目编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号</w:t>
            </w:r>
          </w:p>
        </w:tc>
        <w:tc>
          <w:tcPr>
            <w:tcW w:w="2647" w:type="dxa"/>
            <w:vAlign w:val="top"/>
          </w:tcPr>
          <w:p>
            <w:pPr>
              <w:ind w:left="858"/>
              <w:spacing w:before="198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项目名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称</w:t>
            </w:r>
          </w:p>
        </w:tc>
        <w:tc>
          <w:tcPr>
            <w:tcW w:w="1373" w:type="dxa"/>
            <w:vAlign w:val="top"/>
          </w:tcPr>
          <w:p>
            <w:pPr>
              <w:ind w:left="222"/>
              <w:spacing w:before="198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项目类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型</w:t>
            </w:r>
          </w:p>
        </w:tc>
        <w:tc>
          <w:tcPr>
            <w:tcW w:w="938" w:type="dxa"/>
            <w:vAlign w:val="top"/>
          </w:tcPr>
          <w:p>
            <w:pPr>
              <w:ind w:left="129"/>
              <w:spacing w:before="19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主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持人</w:t>
            </w:r>
          </w:p>
        </w:tc>
        <w:tc>
          <w:tcPr>
            <w:tcW w:w="1133" w:type="dxa"/>
            <w:vAlign w:val="top"/>
          </w:tcPr>
          <w:p>
            <w:pPr>
              <w:ind w:left="483" w:right="202" w:hanging="263"/>
              <w:spacing w:before="42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执行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间</w:t>
            </w:r>
          </w:p>
        </w:tc>
        <w:tc>
          <w:tcPr>
            <w:tcW w:w="1172" w:type="dxa"/>
            <w:vAlign w:val="top"/>
          </w:tcPr>
          <w:p>
            <w:pPr>
              <w:ind w:left="364" w:right="107" w:hanging="241"/>
              <w:spacing w:before="42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经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费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(万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元)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30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1276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2261018</w:t>
            </w:r>
          </w:p>
        </w:tc>
        <w:tc>
          <w:tcPr>
            <w:tcW w:w="2647" w:type="dxa"/>
            <w:vAlign w:val="top"/>
          </w:tcPr>
          <w:p>
            <w:pPr>
              <w:ind w:left="140"/>
              <w:spacing w:before="38" w:line="21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热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带河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口固液悬浮体系</w:t>
            </w:r>
          </w:p>
          <w:p>
            <w:pPr>
              <w:ind w:left="160"/>
              <w:spacing w:line="32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  <w:position w:val="2"/>
              </w:rPr>
              <w:t>中钯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>(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position w:val="2"/>
              </w:rPr>
              <w:t>Pd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  <w:position w:val="2"/>
              </w:rPr>
              <w:t>的相间分配</w:t>
            </w:r>
          </w:p>
          <w:p>
            <w:pPr>
              <w:ind w:left="860"/>
              <w:spacing w:before="3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其模拟</w:t>
            </w:r>
          </w:p>
        </w:tc>
        <w:tc>
          <w:tcPr>
            <w:tcW w:w="1373" w:type="dxa"/>
            <w:vAlign w:val="top"/>
          </w:tcPr>
          <w:p>
            <w:pPr>
              <w:ind w:left="222" w:right="202" w:firstLine="26"/>
              <w:spacing w:before="19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023.01.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01-2026.</w:t>
            </w:r>
          </w:p>
          <w:p>
            <w:pPr>
              <w:ind w:left="322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2.31</w:t>
            </w:r>
          </w:p>
        </w:tc>
        <w:tc>
          <w:tcPr>
            <w:tcW w:w="1172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27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2261054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南自贸港城乡公共医</w:t>
            </w:r>
          </w:p>
          <w:p>
            <w:pPr>
              <w:ind w:left="141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疗服务均等化及其空间</w:t>
            </w:r>
          </w:p>
          <w:p>
            <w:pPr>
              <w:ind w:left="864"/>
              <w:spacing w:before="2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响应研究</w:t>
            </w:r>
          </w:p>
        </w:tc>
        <w:tc>
          <w:tcPr>
            <w:tcW w:w="1373" w:type="dxa"/>
            <w:vAlign w:val="top"/>
          </w:tcPr>
          <w:p>
            <w:pPr>
              <w:ind w:left="222" w:right="202" w:firstLine="26"/>
              <w:spacing w:before="19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023.01.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01-2026.</w:t>
            </w:r>
          </w:p>
          <w:p>
            <w:pPr>
              <w:ind w:left="322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2.31</w:t>
            </w:r>
          </w:p>
        </w:tc>
        <w:tc>
          <w:tcPr>
            <w:tcW w:w="1172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</w:tr>
      <w:tr>
        <w:trPr>
          <w:trHeight w:val="934" w:hRule="atLeast"/>
        </w:trPr>
        <w:tc>
          <w:tcPr>
            <w:tcW w:w="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27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2061048</w:t>
            </w:r>
          </w:p>
        </w:tc>
        <w:tc>
          <w:tcPr>
            <w:tcW w:w="2647" w:type="dxa"/>
            <w:vAlign w:val="top"/>
          </w:tcPr>
          <w:p>
            <w:pPr>
              <w:ind w:left="137"/>
              <w:spacing w:before="37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于保护成效分析的海</w:t>
            </w:r>
          </w:p>
          <w:p>
            <w:pPr>
              <w:ind w:left="148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岛红树林生态系统可</w:t>
            </w:r>
          </w:p>
          <w:p>
            <w:pPr>
              <w:ind w:left="379"/>
              <w:spacing w:before="24" w:line="21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持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续管护战略研究</w:t>
            </w:r>
          </w:p>
        </w:tc>
        <w:tc>
          <w:tcPr>
            <w:tcW w:w="1373" w:type="dxa"/>
            <w:vAlign w:val="top"/>
          </w:tcPr>
          <w:p>
            <w:pPr>
              <w:ind w:left="222" w:right="202" w:firstLine="26"/>
              <w:spacing w:before="194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邱彭华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01-2024.</w:t>
            </w:r>
          </w:p>
          <w:p>
            <w:pPr>
              <w:ind w:left="322"/>
              <w:spacing w:before="9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31</w:t>
            </w:r>
          </w:p>
        </w:tc>
        <w:tc>
          <w:tcPr>
            <w:tcW w:w="1172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36</w:t>
            </w:r>
          </w:p>
        </w:tc>
      </w:tr>
      <w:tr>
        <w:trPr>
          <w:trHeight w:val="940" w:hRule="atLeast"/>
        </w:trPr>
        <w:tc>
          <w:tcPr>
            <w:tcW w:w="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127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58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1867060</w:t>
            </w:r>
          </w:p>
        </w:tc>
        <w:tc>
          <w:tcPr>
            <w:tcW w:w="2647" w:type="dxa"/>
            <w:vAlign w:val="top"/>
          </w:tcPr>
          <w:p>
            <w:pPr>
              <w:ind w:left="166"/>
              <w:spacing w:before="4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湿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沉降对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PGEs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迁移的</w:t>
            </w:r>
          </w:p>
          <w:p>
            <w:pPr>
              <w:ind w:left="220"/>
              <w:spacing w:before="24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作用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机理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----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以海口为</w:t>
            </w:r>
          </w:p>
          <w:p>
            <w:pPr>
              <w:ind w:left="1216"/>
              <w:spacing w:before="27" w:line="21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例</w:t>
            </w:r>
          </w:p>
        </w:tc>
        <w:tc>
          <w:tcPr>
            <w:tcW w:w="1373" w:type="dxa"/>
            <w:vAlign w:val="top"/>
          </w:tcPr>
          <w:p>
            <w:pPr>
              <w:ind w:left="222" w:right="202" w:firstLine="26"/>
              <w:spacing w:before="201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国家自然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科学基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4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5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019.01.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01-2022.</w:t>
            </w:r>
          </w:p>
          <w:p>
            <w:pPr>
              <w:ind w:left="322"/>
              <w:spacing w:before="9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31</w:t>
            </w:r>
          </w:p>
        </w:tc>
        <w:tc>
          <w:tcPr>
            <w:tcW w:w="1172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38</w:t>
            </w:r>
          </w:p>
        </w:tc>
      </w:tr>
      <w:tr>
        <w:trPr>
          <w:trHeight w:val="1504" w:hRule="atLeast"/>
        </w:trPr>
        <w:tc>
          <w:tcPr>
            <w:tcW w:w="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87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127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398" w:right="125" w:hanging="276"/>
              <w:spacing w:before="66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YSPTZX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8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024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169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南岛热带雨林生态系</w:t>
            </w:r>
          </w:p>
          <w:p>
            <w:pPr>
              <w:ind w:left="262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统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土壤有机碳累积特</w:t>
            </w:r>
          </w:p>
          <w:p>
            <w:pPr>
              <w:ind w:left="138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征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、变化规律及其环境</w:t>
            </w:r>
          </w:p>
          <w:p>
            <w:pPr>
              <w:ind w:left="860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影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响研究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16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南省院</w:t>
            </w:r>
          </w:p>
          <w:p>
            <w:pPr>
              <w:ind w:left="227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士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创新平</w:t>
            </w:r>
          </w:p>
          <w:p>
            <w:pPr>
              <w:ind w:left="244"/>
              <w:spacing w:before="2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科研专</w:t>
            </w:r>
          </w:p>
          <w:p>
            <w:pPr>
              <w:ind w:left="582"/>
              <w:spacing w:before="26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项</w:t>
            </w:r>
          </w:p>
        </w:tc>
        <w:tc>
          <w:tcPr>
            <w:tcW w:w="93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74" w:line="23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志忠</w:t>
            </w:r>
          </w:p>
        </w:tc>
        <w:tc>
          <w:tcPr>
            <w:tcW w:w="113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7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50</w:t>
            </w:r>
          </w:p>
        </w:tc>
      </w:tr>
      <w:tr>
        <w:trPr>
          <w:trHeight w:val="1252" w:hRule="atLeast"/>
        </w:trPr>
        <w:tc>
          <w:tcPr>
            <w:tcW w:w="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127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398" w:right="125" w:hanging="276"/>
              <w:spacing w:before="67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YSPTZX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8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128</w:t>
            </w:r>
          </w:p>
        </w:tc>
        <w:tc>
          <w:tcPr>
            <w:tcW w:w="264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39" w:right="120" w:hanging="2"/>
              <w:spacing w:before="74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于环境梯度的红树林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湿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地蓝碳精细评估研究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3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南省院</w:t>
            </w:r>
          </w:p>
          <w:p>
            <w:pPr>
              <w:ind w:left="227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士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创新平</w:t>
            </w:r>
          </w:p>
          <w:p>
            <w:pPr>
              <w:ind w:left="244"/>
              <w:spacing w:before="2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科研专</w:t>
            </w:r>
          </w:p>
          <w:p>
            <w:pPr>
              <w:ind w:left="582"/>
              <w:spacing w:before="26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项</w:t>
            </w:r>
          </w:p>
        </w:tc>
        <w:tc>
          <w:tcPr>
            <w:tcW w:w="938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邱彭华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3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021.05.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01-2024.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30</w:t>
            </w:r>
          </w:p>
        </w:tc>
      </w:tr>
      <w:tr>
        <w:trPr>
          <w:trHeight w:val="1173" w:hRule="atLeast"/>
        </w:trPr>
        <w:tc>
          <w:tcPr>
            <w:tcW w:w="679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285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1276" w:type="dxa"/>
            <w:vAlign w:val="top"/>
          </w:tcPr>
          <w:p>
            <w:pPr>
              <w:ind w:left="142"/>
              <w:spacing w:before="19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ZDYF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3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>02</w:t>
            </w:r>
          </w:p>
          <w:p>
            <w:pPr>
              <w:ind w:left="166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SHFZ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1"/>
              </w:rPr>
              <w:t>05</w:t>
            </w:r>
          </w:p>
          <w:p>
            <w:pPr>
              <w:ind w:left="588"/>
              <w:spacing w:before="9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647" w:type="dxa"/>
            <w:vAlign w:val="top"/>
          </w:tcPr>
          <w:p>
            <w:pPr>
              <w:ind w:left="378"/>
              <w:spacing w:before="156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红树林主干食物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链</w:t>
            </w:r>
          </w:p>
          <w:p>
            <w:pPr>
              <w:ind w:left="108"/>
              <w:spacing w:before="26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的营养级传递、模</w:t>
            </w:r>
          </w:p>
          <w:p>
            <w:pPr>
              <w:ind w:left="257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拟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及其生态风险预测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15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南省重</w:t>
            </w:r>
          </w:p>
          <w:p>
            <w:pPr>
              <w:ind w:left="234"/>
              <w:spacing w:before="23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研发项</w:t>
            </w:r>
          </w:p>
          <w:p>
            <w:pPr>
              <w:ind w:left="623"/>
              <w:spacing w:before="23" w:line="23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022.03.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.28</w:t>
            </w:r>
          </w:p>
        </w:tc>
        <w:tc>
          <w:tcPr>
            <w:tcW w:w="1172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6" w:h="16839"/>
          <w:pgMar w:top="400" w:right="998" w:bottom="1168" w:left="1684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21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9"/>
        <w:gridCol w:w="1276"/>
        <w:gridCol w:w="2647"/>
        <w:gridCol w:w="1373"/>
        <w:gridCol w:w="938"/>
        <w:gridCol w:w="1133"/>
        <w:gridCol w:w="1172"/>
      </w:tblGrid>
      <w:tr>
        <w:trPr>
          <w:trHeight w:val="939" w:hRule="atLeast"/>
        </w:trPr>
        <w:tc>
          <w:tcPr>
            <w:tcW w:w="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29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1276" w:type="dxa"/>
            <w:vAlign w:val="top"/>
          </w:tcPr>
          <w:p>
            <w:pPr>
              <w:ind w:left="584" w:right="116" w:hanging="467"/>
              <w:spacing w:before="238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bookmarkStart w:name="_bookmark21" w:id="19"/>
            <w:bookmarkEnd w:id="19"/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10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647" w:type="dxa"/>
            <w:vAlign w:val="top"/>
          </w:tcPr>
          <w:p>
            <w:pPr>
              <w:ind w:left="205"/>
              <w:spacing w:before="41" w:line="229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红树林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常见鱼种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PAEs</w:t>
            </w:r>
          </w:p>
          <w:p>
            <w:pPr>
              <w:ind w:left="156"/>
              <w:spacing w:before="26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富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集、代谢及其作用机</w:t>
            </w:r>
          </w:p>
          <w:p>
            <w:pPr>
              <w:ind w:left="1218"/>
              <w:spacing w:before="26" w:line="21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制</w:t>
            </w:r>
          </w:p>
        </w:tc>
        <w:tc>
          <w:tcPr>
            <w:tcW w:w="1373" w:type="dxa"/>
            <w:vAlign w:val="top"/>
          </w:tcPr>
          <w:p>
            <w:pPr>
              <w:ind w:left="347" w:right="202" w:hanging="118"/>
              <w:spacing w:before="198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高层次人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浩峰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30</w:t>
            </w:r>
          </w:p>
        </w:tc>
        <w:tc>
          <w:tcPr>
            <w:tcW w:w="1172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539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</w:tr>
      <w:tr>
        <w:trPr>
          <w:trHeight w:val="947" w:hRule="atLeast"/>
        </w:trPr>
        <w:tc>
          <w:tcPr>
            <w:tcW w:w="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286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9</w:t>
            </w:r>
          </w:p>
        </w:tc>
        <w:tc>
          <w:tcPr>
            <w:tcW w:w="1276" w:type="dxa"/>
            <w:vAlign w:val="top"/>
          </w:tcPr>
          <w:p>
            <w:pPr>
              <w:ind w:left="582" w:right="116" w:hanging="465"/>
              <w:spacing w:before="240" w:line="299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10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43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南设施菜地土壤氮素</w:t>
            </w:r>
          </w:p>
          <w:p>
            <w:pPr>
              <w:ind w:left="144"/>
              <w:spacing w:before="29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高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效利用调控技术与机</w:t>
            </w:r>
          </w:p>
          <w:p>
            <w:pPr>
              <w:ind w:left="1219"/>
              <w:spacing w:before="2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理</w:t>
            </w:r>
          </w:p>
        </w:tc>
        <w:tc>
          <w:tcPr>
            <w:tcW w:w="1373" w:type="dxa"/>
            <w:vAlign w:val="top"/>
          </w:tcPr>
          <w:p>
            <w:pPr>
              <w:ind w:left="347" w:right="202" w:hanging="118"/>
              <w:spacing w:before="199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高层次人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539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  <w:tc>
          <w:tcPr>
            <w:tcW w:w="1276" w:type="dxa"/>
            <w:vAlign w:val="top"/>
          </w:tcPr>
          <w:p>
            <w:pPr>
              <w:ind w:left="582" w:right="120" w:hanging="460"/>
              <w:spacing w:before="233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115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36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南岛海岸风沙地貌类</w:t>
            </w:r>
          </w:p>
          <w:p>
            <w:pPr>
              <w:ind w:left="148"/>
              <w:spacing w:before="25" w:line="23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型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、形成机制与发育过</w:t>
            </w:r>
          </w:p>
          <w:p>
            <w:pPr>
              <w:ind w:left="979"/>
              <w:spacing w:before="1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程研究</w:t>
            </w:r>
          </w:p>
        </w:tc>
        <w:tc>
          <w:tcPr>
            <w:tcW w:w="1373" w:type="dxa"/>
            <w:vAlign w:val="top"/>
          </w:tcPr>
          <w:p>
            <w:pPr>
              <w:ind w:left="347" w:right="202" w:hanging="118"/>
              <w:spacing w:before="193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高层次人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钟帅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533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1"/>
              </w:rPr>
              <w:t>1</w:t>
            </w:r>
          </w:p>
        </w:tc>
        <w:tc>
          <w:tcPr>
            <w:tcW w:w="1276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1</w:t>
            </w:r>
          </w:p>
        </w:tc>
        <w:tc>
          <w:tcPr>
            <w:tcW w:w="2647" w:type="dxa"/>
            <w:vAlign w:val="top"/>
          </w:tcPr>
          <w:p>
            <w:pPr>
              <w:ind w:left="496" w:right="120" w:hanging="355"/>
              <w:spacing w:before="192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典型湿热区分类人群热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舒适度差异研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究</w:t>
            </w:r>
          </w:p>
        </w:tc>
        <w:tc>
          <w:tcPr>
            <w:tcW w:w="1373" w:type="dxa"/>
            <w:vAlign w:val="top"/>
          </w:tcPr>
          <w:p>
            <w:pPr>
              <w:ind w:left="347" w:right="202" w:hanging="118"/>
              <w:spacing w:before="193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高层次人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来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文立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533"/>
              <w:spacing w:before="67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</w:tr>
      <w:tr>
        <w:trPr>
          <w:trHeight w:val="1130" w:hRule="atLeast"/>
        </w:trPr>
        <w:tc>
          <w:tcPr>
            <w:tcW w:w="679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2</w:t>
            </w:r>
          </w:p>
        </w:tc>
        <w:tc>
          <w:tcPr>
            <w:tcW w:w="127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588" w:right="116" w:hanging="470"/>
              <w:spacing w:before="66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019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17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647" w:type="dxa"/>
            <w:vAlign w:val="top"/>
          </w:tcPr>
          <w:p>
            <w:pPr>
              <w:ind w:left="137"/>
              <w:spacing w:before="131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整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村推进政策对农村居</w:t>
            </w:r>
          </w:p>
          <w:p>
            <w:pPr>
              <w:ind w:left="168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民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生产和生活方式的影</w:t>
            </w:r>
          </w:p>
          <w:p>
            <w:pPr>
              <w:ind w:left="344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响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----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以海南省为例</w:t>
            </w:r>
          </w:p>
        </w:tc>
        <w:tc>
          <w:tcPr>
            <w:tcW w:w="1373" w:type="dxa"/>
            <w:vAlign w:val="top"/>
          </w:tcPr>
          <w:p>
            <w:pPr>
              <w:ind w:left="347" w:right="202" w:hanging="118"/>
              <w:spacing w:before="288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高层次人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才项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目</w:t>
            </w:r>
          </w:p>
        </w:tc>
        <w:tc>
          <w:tcPr>
            <w:tcW w:w="938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程叶青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7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020.01.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01-2022.</w:t>
            </w:r>
          </w:p>
          <w:p>
            <w:pPr>
              <w:ind w:left="322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2.31</w:t>
            </w:r>
          </w:p>
        </w:tc>
        <w:tc>
          <w:tcPr>
            <w:tcW w:w="1172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6" w:hRule="atLeast"/>
        </w:trPr>
        <w:tc>
          <w:tcPr>
            <w:tcW w:w="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3</w:t>
            </w:r>
          </w:p>
        </w:tc>
        <w:tc>
          <w:tcPr>
            <w:tcW w:w="1276" w:type="dxa"/>
            <w:vAlign w:val="top"/>
          </w:tcPr>
          <w:p>
            <w:pPr>
              <w:ind w:left="577" w:right="164" w:hanging="412"/>
              <w:spacing w:before="240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2647" w:type="dxa"/>
            <w:vAlign w:val="top"/>
          </w:tcPr>
          <w:p>
            <w:pPr>
              <w:ind w:left="142"/>
              <w:spacing w:before="4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城市雨洪管理多主体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仿</w:t>
            </w:r>
          </w:p>
          <w:p>
            <w:pPr>
              <w:ind w:left="144"/>
              <w:spacing w:before="2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真与政策分析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以海</w:t>
            </w:r>
          </w:p>
          <w:p>
            <w:pPr>
              <w:ind w:left="900"/>
              <w:spacing w:before="26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口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市为例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28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李大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龙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5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021.09.</w:t>
            </w:r>
          </w:p>
          <w:p>
            <w:pPr>
              <w:ind w:left="141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9-2024.</w:t>
            </w:r>
          </w:p>
          <w:p>
            <w:pPr>
              <w:ind w:left="303"/>
              <w:spacing w:before="9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30</w:t>
            </w:r>
          </w:p>
        </w:tc>
        <w:tc>
          <w:tcPr>
            <w:tcW w:w="1172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4</w:t>
            </w:r>
          </w:p>
        </w:tc>
        <w:tc>
          <w:tcPr>
            <w:tcW w:w="1276" w:type="dxa"/>
            <w:vAlign w:val="top"/>
          </w:tcPr>
          <w:p>
            <w:pPr>
              <w:ind w:left="583" w:right="164" w:hanging="418"/>
              <w:spacing w:before="242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41" w:right="120" w:hanging="2"/>
              <w:spacing w:before="200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南岛红树林生态系统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氮和磷的限制模式研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1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4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杨艳丽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021.09.</w:t>
            </w:r>
          </w:p>
          <w:p>
            <w:pPr>
              <w:ind w:left="141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9-2024.</w:t>
            </w:r>
          </w:p>
          <w:p>
            <w:pPr>
              <w:ind w:left="303"/>
              <w:spacing w:before="98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30</w:t>
            </w:r>
          </w:p>
        </w:tc>
        <w:tc>
          <w:tcPr>
            <w:tcW w:w="1172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1156" w:hRule="atLeast"/>
        </w:trPr>
        <w:tc>
          <w:tcPr>
            <w:tcW w:w="67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5</w:t>
            </w:r>
          </w:p>
        </w:tc>
        <w:tc>
          <w:tcPr>
            <w:tcW w:w="127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584" w:right="164" w:hanging="419"/>
              <w:spacing w:before="66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151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南红树林生态系统恢</w:t>
            </w:r>
          </w:p>
          <w:p>
            <w:pPr>
              <w:ind w:left="148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复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过程中硫的响应特征</w:t>
            </w:r>
          </w:p>
          <w:p>
            <w:pPr>
              <w:ind w:left="500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影响因素研究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15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万斯昂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9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021.09.</w:t>
            </w:r>
          </w:p>
          <w:p>
            <w:pPr>
              <w:ind w:left="141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9-2024.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1110" w:hRule="atLeast"/>
        </w:trPr>
        <w:tc>
          <w:tcPr>
            <w:tcW w:w="679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6</w:t>
            </w:r>
          </w:p>
        </w:tc>
        <w:tc>
          <w:tcPr>
            <w:tcW w:w="127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585" w:right="164" w:hanging="420"/>
              <w:spacing w:before="66" w:line="28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2647" w:type="dxa"/>
            <w:vAlign w:val="top"/>
          </w:tcPr>
          <w:p>
            <w:pPr>
              <w:ind w:left="178"/>
              <w:spacing w:before="125" w:line="22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热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带环境中土壤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--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蔬菜</w:t>
            </w:r>
          </w:p>
          <w:p>
            <w:pPr>
              <w:ind w:left="138"/>
              <w:spacing w:before="30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体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系微塑料富集与迁移</w:t>
            </w:r>
          </w:p>
          <w:p>
            <w:pPr>
              <w:ind w:left="856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规律研究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1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丹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021.09.</w:t>
            </w:r>
          </w:p>
          <w:p>
            <w:pPr>
              <w:ind w:left="141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9-2024.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7</w:t>
            </w:r>
          </w:p>
        </w:tc>
        <w:tc>
          <w:tcPr>
            <w:tcW w:w="1276" w:type="dxa"/>
            <w:vAlign w:val="top"/>
          </w:tcPr>
          <w:p>
            <w:pPr>
              <w:ind w:left="528" w:right="164" w:hanging="363"/>
              <w:spacing w:before="239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1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42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南岛琼北海岸带建设</w:t>
            </w:r>
          </w:p>
          <w:p>
            <w:pPr>
              <w:ind w:left="197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用地近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50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年时空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化</w:t>
            </w:r>
          </w:p>
          <w:p>
            <w:pPr>
              <w:ind w:left="140"/>
              <w:spacing w:before="24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及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其环境生态影响研究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李漾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8</w:t>
            </w:r>
          </w:p>
        </w:tc>
        <w:tc>
          <w:tcPr>
            <w:tcW w:w="1276" w:type="dxa"/>
            <w:vAlign w:val="top"/>
          </w:tcPr>
          <w:p>
            <w:pPr>
              <w:ind w:left="528" w:right="164" w:hanging="363"/>
              <w:spacing w:before="238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36"/>
              <w:spacing w:before="41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砂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质海岸线年内演变特</w:t>
            </w:r>
          </w:p>
          <w:p>
            <w:pPr>
              <w:ind w:left="138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征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及其对波浪的响应机</w:t>
            </w:r>
          </w:p>
          <w:p>
            <w:pPr>
              <w:ind w:left="1218"/>
              <w:spacing w:before="25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丁圆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婷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9</w:t>
            </w:r>
          </w:p>
        </w:tc>
        <w:tc>
          <w:tcPr>
            <w:tcW w:w="1276" w:type="dxa"/>
            <w:vAlign w:val="top"/>
          </w:tcPr>
          <w:p>
            <w:pPr>
              <w:ind w:left="528" w:right="164" w:hanging="363"/>
              <w:spacing w:before="238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8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4</w:t>
            </w:r>
          </w:p>
        </w:tc>
        <w:tc>
          <w:tcPr>
            <w:tcW w:w="2647" w:type="dxa"/>
            <w:vAlign w:val="top"/>
          </w:tcPr>
          <w:p>
            <w:pPr>
              <w:ind w:left="140"/>
              <w:spacing w:before="4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土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地利用变化背景下城</w:t>
            </w:r>
          </w:p>
          <w:p>
            <w:pPr>
              <w:ind w:left="143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市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内涝风险演变及预警</w:t>
            </w:r>
          </w:p>
          <w:p>
            <w:pPr>
              <w:ind w:left="1096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27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马东来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2021.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1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3-2024.</w:t>
            </w:r>
          </w:p>
          <w:p>
            <w:pPr>
              <w:ind w:left="303"/>
              <w:spacing w:before="9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9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.30</w:t>
            </w:r>
          </w:p>
        </w:tc>
        <w:tc>
          <w:tcPr>
            <w:tcW w:w="1172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</w:p>
        </w:tc>
        <w:tc>
          <w:tcPr>
            <w:tcW w:w="1276" w:type="dxa"/>
            <w:vAlign w:val="top"/>
          </w:tcPr>
          <w:p>
            <w:pPr>
              <w:ind w:left="583" w:right="161" w:hanging="394"/>
              <w:spacing w:before="237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03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39"/>
              <w:spacing w:before="4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南省基础教育资源与</w:t>
            </w:r>
          </w:p>
          <w:p>
            <w:pPr>
              <w:ind w:left="137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居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民点空间耦合关系研</w:t>
            </w:r>
          </w:p>
          <w:p>
            <w:pPr>
              <w:ind w:left="1110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6"/>
              </w:rPr>
              <w:t>究</w:t>
            </w: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例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宋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洁华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3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21</w:t>
            </w:r>
          </w:p>
        </w:tc>
        <w:tc>
          <w:tcPr>
            <w:tcW w:w="1276" w:type="dxa"/>
            <w:vAlign w:val="top"/>
          </w:tcPr>
          <w:p>
            <w:pPr>
              <w:ind w:left="601" w:right="161" w:hanging="412"/>
              <w:spacing w:before="236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04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2647" w:type="dxa"/>
            <w:vAlign w:val="top"/>
          </w:tcPr>
          <w:p>
            <w:pPr>
              <w:ind w:left="142"/>
              <w:spacing w:before="4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城市湿地演化及生态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功</w:t>
            </w:r>
          </w:p>
          <w:p>
            <w:pPr>
              <w:ind w:left="151"/>
              <w:spacing w:before="2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能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评价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——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以美舍河流</w:t>
            </w:r>
          </w:p>
          <w:p>
            <w:pPr>
              <w:ind w:left="976"/>
              <w:spacing w:before="25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域为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例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李婷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6" w:h="16839"/>
          <w:pgMar w:top="400" w:right="998" w:bottom="1168" w:left="1684" w:header="0" w:footer="1008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21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9"/>
        <w:gridCol w:w="1276"/>
        <w:gridCol w:w="2647"/>
        <w:gridCol w:w="1373"/>
        <w:gridCol w:w="938"/>
        <w:gridCol w:w="1133"/>
        <w:gridCol w:w="1172"/>
      </w:tblGrid>
      <w:tr>
        <w:trPr>
          <w:trHeight w:val="1409" w:hRule="atLeast"/>
        </w:trPr>
        <w:tc>
          <w:tcPr>
            <w:tcW w:w="67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22</w:t>
            </w:r>
          </w:p>
        </w:tc>
        <w:tc>
          <w:tcPr>
            <w:tcW w:w="1276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578" w:right="161" w:hanging="389"/>
              <w:spacing w:before="66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04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2647" w:type="dxa"/>
            <w:vAlign w:val="top"/>
          </w:tcPr>
          <w:p>
            <w:pPr>
              <w:ind w:left="182"/>
              <w:spacing w:before="11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bookmarkStart w:name="_bookmark22" w:id="20"/>
            <w:bookmarkEnd w:id="20"/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自贸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区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建设背景下海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口</w:t>
            </w:r>
          </w:p>
          <w:p>
            <w:pPr>
              <w:ind w:left="143"/>
              <w:spacing w:before="2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市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城乡土地利用转型时</w:t>
            </w:r>
          </w:p>
          <w:p>
            <w:pPr>
              <w:ind w:left="150"/>
              <w:spacing w:before="28" w:line="23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空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特征及机理研究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——</w:t>
            </w:r>
          </w:p>
          <w:p>
            <w:pPr>
              <w:ind w:left="281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以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江东新区为案例区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2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文星</w:t>
            </w:r>
          </w:p>
        </w:tc>
        <w:tc>
          <w:tcPr>
            <w:tcW w:w="113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1040" w:hRule="atLeast"/>
        </w:trPr>
        <w:tc>
          <w:tcPr>
            <w:tcW w:w="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23</w:t>
            </w:r>
          </w:p>
        </w:tc>
        <w:tc>
          <w:tcPr>
            <w:tcW w:w="1276" w:type="dxa"/>
            <w:vAlign w:val="top"/>
          </w:tcPr>
          <w:p>
            <w:pPr>
              <w:ind w:left="583" w:right="161" w:hanging="394"/>
              <w:spacing w:before="283" w:line="298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MS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04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36"/>
              <w:spacing w:before="87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施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氮肥对热带蕉园土壤</w:t>
            </w:r>
          </w:p>
          <w:p>
            <w:pPr>
              <w:ind w:left="138"/>
              <w:spacing w:before="27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根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系呼吸与微生物呼吸</w:t>
            </w:r>
          </w:p>
          <w:p>
            <w:pPr>
              <w:ind w:left="751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的影响研究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8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从举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2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7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24</w:t>
            </w:r>
          </w:p>
        </w:tc>
        <w:tc>
          <w:tcPr>
            <w:tcW w:w="1276" w:type="dxa"/>
            <w:vAlign w:val="top"/>
          </w:tcPr>
          <w:p>
            <w:pPr>
              <w:ind w:left="583" w:right="164" w:hanging="412"/>
              <w:spacing w:before="235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40"/>
              <w:spacing w:before="38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外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源生物炭对海南砖红</w:t>
            </w:r>
          </w:p>
          <w:p>
            <w:pPr>
              <w:ind w:left="136"/>
              <w:spacing w:before="27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壤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磷素有效性的影响研</w:t>
            </w:r>
          </w:p>
          <w:p>
            <w:pPr>
              <w:ind w:left="1230"/>
              <w:spacing w:before="27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38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韩瑛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25</w:t>
            </w:r>
          </w:p>
        </w:tc>
        <w:tc>
          <w:tcPr>
            <w:tcW w:w="1276" w:type="dxa"/>
            <w:vAlign w:val="top"/>
          </w:tcPr>
          <w:p>
            <w:pPr>
              <w:ind w:left="588" w:right="164" w:hanging="417"/>
              <w:spacing w:before="234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647" w:type="dxa"/>
            <w:vAlign w:val="top"/>
          </w:tcPr>
          <w:p>
            <w:pPr>
              <w:ind w:left="144" w:right="120" w:firstLine="1"/>
              <w:spacing w:before="36" w:line="24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候变化与人类活动影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响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下海南岛滨海湿地时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空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演变特征与机制研究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3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3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陈海燕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7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7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1325" w:hRule="atLeast"/>
        </w:trPr>
        <w:tc>
          <w:tcPr>
            <w:tcW w:w="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26</w:t>
            </w:r>
          </w:p>
        </w:tc>
        <w:tc>
          <w:tcPr>
            <w:tcW w:w="127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582" w:right="164" w:hanging="411"/>
              <w:spacing w:before="66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2647" w:type="dxa"/>
            <w:vAlign w:val="top"/>
          </w:tcPr>
          <w:p>
            <w:pPr>
              <w:ind w:left="137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于典型应用场景下的</w:t>
            </w:r>
          </w:p>
          <w:p>
            <w:pPr>
              <w:ind w:left="139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南省绿色智慧建筑混</w:t>
            </w:r>
          </w:p>
          <w:p>
            <w:pPr>
              <w:ind w:left="143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4"/>
              </w:rPr>
              <w:t>合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权重模型构建及评价</w:t>
            </w:r>
          </w:p>
          <w:p>
            <w:pPr>
              <w:ind w:left="617"/>
              <w:spacing w:before="2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指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标体系研究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23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林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文诗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70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2020.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>12.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01-2023.</w:t>
            </w:r>
          </w:p>
          <w:p>
            <w:pPr>
              <w:ind w:left="327"/>
              <w:spacing w:before="97" w:line="197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536"/>
              <w:spacing w:before="66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</w:tr>
      <w:tr>
        <w:trPr>
          <w:trHeight w:val="1050" w:hRule="atLeast"/>
        </w:trPr>
        <w:tc>
          <w:tcPr>
            <w:tcW w:w="679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27</w:t>
            </w:r>
          </w:p>
        </w:tc>
        <w:tc>
          <w:tcPr>
            <w:tcW w:w="1276" w:type="dxa"/>
            <w:vAlign w:val="top"/>
          </w:tcPr>
          <w:p>
            <w:pPr>
              <w:ind w:left="585" w:right="164" w:hanging="414"/>
              <w:spacing w:before="292" w:line="28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2647" w:type="dxa"/>
            <w:vAlign w:val="top"/>
          </w:tcPr>
          <w:p>
            <w:pPr>
              <w:ind w:left="151"/>
              <w:spacing w:before="94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生物炭配合硝化抑制剂</w:t>
            </w:r>
          </w:p>
          <w:p>
            <w:pPr>
              <w:ind w:left="139"/>
              <w:spacing w:before="28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对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热带地区燥红壤氮素</w:t>
            </w:r>
          </w:p>
          <w:p>
            <w:pPr>
              <w:ind w:left="740"/>
              <w:spacing w:before="27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转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化的影响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9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解钰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135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53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</w:tr>
      <w:tr>
        <w:trPr>
          <w:trHeight w:val="1252" w:hRule="atLeast"/>
        </w:trPr>
        <w:tc>
          <w:tcPr>
            <w:tcW w:w="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28</w:t>
            </w:r>
          </w:p>
        </w:tc>
        <w:tc>
          <w:tcPr>
            <w:tcW w:w="127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584" w:right="164" w:hanging="419"/>
              <w:spacing w:before="66" w:line="280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QN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647" w:type="dxa"/>
            <w:vAlign w:val="top"/>
          </w:tcPr>
          <w:p>
            <w:pPr>
              <w:ind w:left="145"/>
              <w:spacing w:before="4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星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地多源数据结合的海</w:t>
            </w:r>
          </w:p>
          <w:p>
            <w:pPr>
              <w:ind w:left="148"/>
              <w:spacing w:before="23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南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省近岸海域总悬浮物</w:t>
            </w:r>
          </w:p>
          <w:p>
            <w:pPr>
              <w:ind w:left="154"/>
              <w:spacing w:before="2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时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空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格局及其环境因素</w:t>
            </w:r>
          </w:p>
          <w:p>
            <w:pPr>
              <w:ind w:left="1096"/>
              <w:spacing w:before="25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19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3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云霞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23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535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21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29</w:t>
            </w:r>
          </w:p>
        </w:tc>
        <w:tc>
          <w:tcPr>
            <w:tcW w:w="127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322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>65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9</w:t>
            </w:r>
          </w:p>
        </w:tc>
        <w:tc>
          <w:tcPr>
            <w:tcW w:w="2647" w:type="dxa"/>
            <w:vAlign w:val="top"/>
          </w:tcPr>
          <w:p>
            <w:pPr>
              <w:ind w:left="137"/>
              <w:spacing w:before="40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基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于二维变分模态分解</w:t>
            </w:r>
          </w:p>
          <w:p>
            <w:pPr>
              <w:ind w:left="151"/>
              <w:spacing w:before="2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的砖红壤优先流路径特</w:t>
            </w:r>
          </w:p>
          <w:p>
            <w:pPr>
              <w:ind w:left="978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征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44"/>
              <w:spacing w:before="7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韩瑛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30</w:t>
            </w:r>
          </w:p>
        </w:tc>
        <w:tc>
          <w:tcPr>
            <w:tcW w:w="127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</w:p>
        </w:tc>
        <w:tc>
          <w:tcPr>
            <w:tcW w:w="2647" w:type="dxa"/>
            <w:vAlign w:val="top"/>
          </w:tcPr>
          <w:p>
            <w:pPr>
              <w:ind w:left="174"/>
              <w:spacing w:line="320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  <w:position w:val="3"/>
              </w:rPr>
              <w:t>施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3"/>
              </w:rPr>
              <w:t>(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3"/>
              </w:rPr>
              <w:t>氮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  <w:position w:val="3"/>
              </w:rPr>
              <w:t>)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  <w:position w:val="3"/>
              </w:rPr>
              <w:t>肥对热带农田温</w:t>
            </w:r>
          </w:p>
          <w:p>
            <w:pPr>
              <w:ind w:left="155"/>
              <w:spacing w:before="34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室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气体排放影响及调控</w:t>
            </w:r>
          </w:p>
          <w:p>
            <w:pPr>
              <w:ind w:left="1096"/>
              <w:spacing w:before="24" w:line="22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赵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从举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31</w:t>
            </w:r>
          </w:p>
        </w:tc>
        <w:tc>
          <w:tcPr>
            <w:tcW w:w="127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3</w:t>
            </w:r>
          </w:p>
        </w:tc>
        <w:tc>
          <w:tcPr>
            <w:tcW w:w="2647" w:type="dxa"/>
            <w:vAlign w:val="top"/>
          </w:tcPr>
          <w:p>
            <w:pPr>
              <w:ind w:left="136" w:right="120" w:firstLine="5"/>
              <w:spacing w:before="44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面向自贸港公共医疗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服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务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空间响应机理及优化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研究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—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以海口市为例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5" w:line="22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32</w:t>
            </w:r>
          </w:p>
        </w:tc>
        <w:tc>
          <w:tcPr>
            <w:tcW w:w="127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4</w:t>
            </w:r>
          </w:p>
        </w:tc>
        <w:tc>
          <w:tcPr>
            <w:tcW w:w="2647" w:type="dxa"/>
            <w:vAlign w:val="top"/>
          </w:tcPr>
          <w:p>
            <w:pPr>
              <w:ind w:left="138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1"/>
              </w:rPr>
              <w:t>政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策主导下海口市土地</w:t>
            </w:r>
          </w:p>
          <w:p>
            <w:pPr>
              <w:ind w:left="142"/>
              <w:spacing w:before="24" w:line="22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功能转型过程及效应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研</w:t>
            </w:r>
          </w:p>
          <w:p>
            <w:pPr>
              <w:ind w:left="1230"/>
              <w:spacing w:before="28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2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杜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文星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1" w:hRule="atLeast"/>
        </w:trPr>
        <w:tc>
          <w:tcPr>
            <w:tcW w:w="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33</w:t>
            </w:r>
          </w:p>
        </w:tc>
        <w:tc>
          <w:tcPr>
            <w:tcW w:w="127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5</w:t>
            </w:r>
          </w:p>
        </w:tc>
        <w:tc>
          <w:tcPr>
            <w:tcW w:w="2647" w:type="dxa"/>
            <w:vAlign w:val="top"/>
          </w:tcPr>
          <w:p>
            <w:pPr>
              <w:ind w:left="197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近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年海南岛东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砂</w:t>
            </w:r>
          </w:p>
          <w:p>
            <w:pPr>
              <w:ind w:left="142"/>
              <w:spacing w:before="24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质海岸线演变过程与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驱</w:t>
            </w:r>
          </w:p>
          <w:p>
            <w:pPr>
              <w:ind w:left="740"/>
              <w:spacing w:before="25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动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机制研究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丁圆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婷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3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.31</w:t>
            </w:r>
          </w:p>
        </w:tc>
        <w:tc>
          <w:tcPr>
            <w:tcW w:w="1172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  <w:tr>
        <w:trPr>
          <w:trHeight w:val="945" w:hRule="atLeast"/>
        </w:trPr>
        <w:tc>
          <w:tcPr>
            <w:tcW w:w="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226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34</w:t>
            </w:r>
          </w:p>
        </w:tc>
        <w:tc>
          <w:tcPr>
            <w:tcW w:w="127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422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RC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>66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6</w:t>
            </w:r>
          </w:p>
        </w:tc>
        <w:tc>
          <w:tcPr>
            <w:tcW w:w="2647" w:type="dxa"/>
            <w:vAlign w:val="top"/>
          </w:tcPr>
          <w:p>
            <w:pPr>
              <w:ind w:left="142"/>
              <w:spacing w:before="41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公路驿站的优化布局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对</w:t>
            </w:r>
          </w:p>
          <w:p>
            <w:pPr>
              <w:ind w:left="159"/>
              <w:spacing w:before="27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乡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村振兴的促进相关研</w:t>
            </w:r>
          </w:p>
          <w:p>
            <w:pPr>
              <w:ind w:left="1230"/>
              <w:spacing w:before="25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究</w:t>
            </w:r>
          </w:p>
        </w:tc>
        <w:tc>
          <w:tcPr>
            <w:tcW w:w="1373" w:type="dxa"/>
            <w:vAlign w:val="top"/>
          </w:tcPr>
          <w:p>
            <w:pPr>
              <w:ind w:left="223"/>
              <w:spacing w:before="4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南省自</w:t>
            </w:r>
          </w:p>
          <w:p>
            <w:pPr>
              <w:ind w:left="229"/>
              <w:spacing w:before="23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然科学基</w:t>
            </w:r>
          </w:p>
          <w:p>
            <w:pPr>
              <w:ind w:left="581"/>
              <w:spacing w:before="24" w:line="22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金</w:t>
            </w:r>
          </w:p>
        </w:tc>
        <w:tc>
          <w:tcPr>
            <w:tcW w:w="93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27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马东来</w:t>
            </w:r>
          </w:p>
        </w:tc>
        <w:tc>
          <w:tcPr>
            <w:tcW w:w="1133" w:type="dxa"/>
            <w:vAlign w:val="top"/>
          </w:tcPr>
          <w:p>
            <w:pPr>
              <w:ind w:left="150"/>
              <w:spacing w:before="8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9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022.04.</w:t>
            </w:r>
          </w:p>
          <w:p>
            <w:pPr>
              <w:ind w:left="144"/>
              <w:spacing w:before="97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01-2025.</w:t>
            </w:r>
          </w:p>
          <w:p>
            <w:pPr>
              <w:ind w:left="303"/>
              <w:spacing w:before="9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3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>31</w:t>
            </w:r>
          </w:p>
        </w:tc>
        <w:tc>
          <w:tcPr>
            <w:tcW w:w="1172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492"/>
              <w:spacing w:before="6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9"/>
              </w:rPr>
              <w:t>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6" w:h="16839"/>
          <w:pgMar w:top="400" w:right="998" w:bottom="1168" w:left="1684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82"/>
        <w:spacing w:before="91" w:line="223" w:lineRule="auto"/>
        <w:outlineLvl w:val="0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年科研获奖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(见表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</w:p>
    <w:p>
      <w:pPr>
        <w:ind w:left="3015"/>
        <w:spacing w:before="200" w:line="231" w:lineRule="auto"/>
        <w:outlineLvl w:val="0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表</w:t>
      </w:r>
      <w:r>
        <w:rPr>
          <w:rFonts w:ascii="FangSong" w:hAnsi="FangSong" w:eastAsia="FangSong" w:cs="FangSong"/>
          <w:sz w:val="23"/>
          <w:szCs w:val="23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10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20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22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"/>
        </w:rPr>
        <w:t>年科研获奖</w:t>
      </w:r>
    </w:p>
    <w:p>
      <w:pPr>
        <w:rPr/>
      </w:pPr>
      <w:r/>
    </w:p>
    <w:p>
      <w:pPr>
        <w:spacing w:line="81" w:lineRule="exact"/>
        <w:rPr/>
      </w:pPr>
      <w:r/>
    </w:p>
    <w:tbl>
      <w:tblPr>
        <w:tblStyle w:val="2"/>
        <w:tblW w:w="8459" w:type="dxa"/>
        <w:tblInd w:w="9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696"/>
        <w:gridCol w:w="2333"/>
        <w:gridCol w:w="1962"/>
        <w:gridCol w:w="2203"/>
        <w:gridCol w:w="1265"/>
      </w:tblGrid>
      <w:tr>
        <w:trPr>
          <w:trHeight w:val="853" w:hRule="atLeast"/>
        </w:trPr>
        <w:tc>
          <w:tcPr>
            <w:tcW w:w="69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4"/>
              <w:spacing w:before="3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序号</w:t>
            </w:r>
          </w:p>
        </w:tc>
        <w:tc>
          <w:tcPr>
            <w:tcW w:w="233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95"/>
              <w:spacing w:before="3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奖励类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别</w:t>
            </w:r>
          </w:p>
        </w:tc>
        <w:tc>
          <w:tcPr>
            <w:tcW w:w="196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51"/>
              <w:spacing w:before="155" w:line="312" w:lineRule="exact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position w:val="5"/>
              </w:rPr>
              <w:t>获奖</w:t>
            </w:r>
          </w:p>
          <w:p>
            <w:pPr>
              <w:ind w:left="756"/>
              <w:spacing w:before="1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等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级</w:t>
            </w:r>
          </w:p>
        </w:tc>
        <w:tc>
          <w:tcPr>
            <w:tcW w:w="22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95"/>
              <w:spacing w:before="311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获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奖项目名称</w:t>
            </w:r>
          </w:p>
        </w:tc>
        <w:tc>
          <w:tcPr>
            <w:tcW w:w="126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85"/>
              <w:spacing w:before="310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获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奖人</w:t>
            </w:r>
          </w:p>
        </w:tc>
      </w:tr>
      <w:tr>
        <w:trPr>
          <w:trHeight w:val="1291" w:hRule="atLeast"/>
        </w:trPr>
        <w:tc>
          <w:tcPr>
            <w:tcW w:w="69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233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" w:firstLine="35"/>
              <w:spacing w:before="214" w:line="25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2022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年度海南省科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技术奖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(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9"/>
              </w:rPr>
              <w:t>自然科学奖</w:t>
            </w:r>
            <w:r>
              <w:rPr>
                <w:rFonts w:ascii="FangSong" w:hAnsi="FangSong" w:eastAsia="FangSong" w:cs="FangSong"/>
                <w:sz w:val="23"/>
                <w:szCs w:val="23"/>
                <w:spacing w:val="-8"/>
              </w:rPr>
              <w:t>)</w:t>
            </w:r>
          </w:p>
          <w:p>
            <w:pPr>
              <w:ind w:left="817"/>
              <w:spacing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等奖</w:t>
            </w:r>
          </w:p>
        </w:tc>
        <w:tc>
          <w:tcPr>
            <w:tcW w:w="196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634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等奖</w:t>
            </w:r>
          </w:p>
        </w:tc>
        <w:tc>
          <w:tcPr>
            <w:tcW w:w="22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6" w:right="38" w:firstLine="23"/>
              <w:spacing w:before="214" w:line="25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新型污染物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PGEs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在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城市环境中的累积</w:t>
            </w: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、</w:t>
            </w:r>
          </w:p>
          <w:p>
            <w:pPr>
              <w:ind w:left="515"/>
              <w:spacing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迁移与归趋</w:t>
            </w:r>
          </w:p>
        </w:tc>
        <w:tc>
          <w:tcPr>
            <w:tcW w:w="126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75" w:line="23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刘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玉燕</w:t>
            </w:r>
          </w:p>
        </w:tc>
      </w:tr>
      <w:tr>
        <w:trPr>
          <w:trHeight w:val="1218" w:hRule="atLeast"/>
        </w:trPr>
        <w:tc>
          <w:tcPr>
            <w:tcW w:w="69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283"/>
              <w:spacing w:before="6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233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 w:right="83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海南省第十二次社会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科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学优秀成果奖论文</w:t>
            </w:r>
          </w:p>
        </w:tc>
        <w:tc>
          <w:tcPr>
            <w:tcW w:w="196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634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三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等奖</w:t>
            </w:r>
          </w:p>
        </w:tc>
        <w:tc>
          <w:tcPr>
            <w:tcW w:w="22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52" w:right="12" w:hanging="119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海南省连片贫困地区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农户致贫风险分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析</w:t>
            </w:r>
          </w:p>
        </w:tc>
        <w:tc>
          <w:tcPr>
            <w:tcW w:w="126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4"/>
              <w:spacing w:before="75" w:line="23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张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金萍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589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(二)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支撑平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台</w:t>
      </w:r>
    </w:p>
    <w:p>
      <w:pPr>
        <w:rPr>
          <w:rFonts w:ascii="Arial"/>
          <w:sz w:val="21"/>
        </w:rPr>
      </w:pPr>
      <w:r/>
    </w:p>
    <w:p>
      <w:pPr>
        <w:ind w:left="29" w:right="142" w:firstLine="12"/>
        <w:spacing w:before="91" w:line="41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学位点现有海南省热带海岛地表过程与环境变化重点实</w:t>
      </w:r>
      <w:r>
        <w:rPr>
          <w:rFonts w:ascii="FangSong" w:hAnsi="FangSong" w:eastAsia="FangSong" w:cs="FangSong"/>
          <w:sz w:val="28"/>
          <w:szCs w:val="28"/>
        </w:rPr>
        <w:t>验室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(筹)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宫</w:t>
      </w:r>
      <w:r>
        <w:rPr>
          <w:rFonts w:ascii="FangSong" w:hAnsi="FangSong" w:eastAsia="FangSong" w:cs="FangSong"/>
          <w:sz w:val="28"/>
          <w:szCs w:val="28"/>
          <w:spacing w:val="-12"/>
        </w:rPr>
        <w:t>辉</w:t>
      </w:r>
      <w:r>
        <w:rPr>
          <w:rFonts w:ascii="FangSong" w:hAnsi="FangSong" w:eastAsia="FangSong" w:cs="FangSong"/>
          <w:sz w:val="28"/>
          <w:szCs w:val="28"/>
          <w:spacing w:val="-9"/>
        </w:rPr>
        <w:t>力院士工作站、王颖院士团队创新中心、海南省职工创新工作室、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澄迈美亭</w:t>
      </w:r>
      <w:r>
        <w:rPr>
          <w:rFonts w:ascii="FangSong" w:hAnsi="FangSong" w:eastAsia="FangSong" w:cs="FangSong"/>
          <w:sz w:val="28"/>
          <w:szCs w:val="28"/>
          <w:spacing w:val="4"/>
        </w:rPr>
        <w:t>农</w:t>
      </w:r>
      <w:r>
        <w:rPr>
          <w:rFonts w:ascii="FangSong" w:hAnsi="FangSong" w:eastAsia="FangSong" w:cs="FangSong"/>
          <w:sz w:val="28"/>
          <w:szCs w:val="28"/>
          <w:spacing w:val="3"/>
        </w:rPr>
        <w:t>林复合生态系统海南省野外科学观测研究站</w:t>
      </w:r>
      <w:r>
        <w:rPr>
          <w:rFonts w:ascii="FangSong" w:hAnsi="FangSong" w:eastAsia="FangSong" w:cs="FangSong"/>
          <w:sz w:val="28"/>
          <w:szCs w:val="28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3"/>
        </w:rPr>
        <w:t>个省级科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研平台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(见表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11</w:t>
      </w:r>
      <w:r>
        <w:rPr>
          <w:rFonts w:ascii="FangSong" w:hAnsi="FangSong" w:eastAsia="FangSong" w:cs="FangSong"/>
          <w:sz w:val="28"/>
          <w:szCs w:val="28"/>
          <w:spacing w:val="-2"/>
        </w:rPr>
        <w:t>)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及自然地理实验室、环境模拟实</w:t>
      </w:r>
      <w:r>
        <w:rPr>
          <w:rFonts w:ascii="FangSong" w:hAnsi="FangSong" w:eastAsia="FangSong" w:cs="FangSong"/>
          <w:sz w:val="28"/>
          <w:szCs w:val="28"/>
          <w:spacing w:val="-1"/>
        </w:rPr>
        <w:t>验室、遥感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-</w:t>
      </w:r>
      <w:r>
        <w:rPr>
          <w:rFonts w:ascii="FangSong" w:hAnsi="FangSong" w:eastAsia="FangSong" w:cs="FangSong"/>
          <w:sz w:val="28"/>
          <w:szCs w:val="28"/>
          <w:spacing w:val="-1"/>
        </w:rPr>
        <w:t>地理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信息系统实</w:t>
      </w:r>
      <w:r>
        <w:rPr>
          <w:rFonts w:ascii="FangSong" w:hAnsi="FangSong" w:eastAsia="FangSong" w:cs="FangSong"/>
          <w:sz w:val="28"/>
          <w:szCs w:val="28"/>
          <w:spacing w:val="-5"/>
        </w:rPr>
        <w:t>验</w:t>
      </w:r>
      <w:r>
        <w:rPr>
          <w:rFonts w:ascii="FangSong" w:hAnsi="FangSong" w:eastAsia="FangSong" w:cs="FangSong"/>
          <w:sz w:val="28"/>
          <w:szCs w:val="28"/>
          <w:spacing w:val="-3"/>
        </w:rPr>
        <w:t>室、环境评价实验室、环境地球化学实验室、气象资源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实验室、测量地图实</w:t>
      </w:r>
      <w:r>
        <w:rPr>
          <w:rFonts w:ascii="FangSong" w:hAnsi="FangSong" w:eastAsia="FangSong" w:cs="FangSong"/>
          <w:sz w:val="28"/>
          <w:szCs w:val="28"/>
        </w:rPr>
        <w:t>验室、</w:t>
      </w:r>
      <w:r>
        <w:rPr>
          <w:rFonts w:ascii="Times New Roman" w:hAnsi="Times New Roman" w:eastAsia="Times New Roman" w:cs="Times New Roman"/>
          <w:sz w:val="28"/>
          <w:szCs w:val="28"/>
        </w:rPr>
        <w:t>ICP-MS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实验室、天文观测站、数字地图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实验室等二十余个科研教学平台。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年实验室新增仪器设备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99.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万</w:t>
      </w:r>
      <w:r>
        <w:rPr>
          <w:rFonts w:ascii="FangSong" w:hAnsi="FangSong" w:eastAsia="FangSong" w:cs="FangSong"/>
          <w:sz w:val="28"/>
          <w:szCs w:val="28"/>
          <w:spacing w:val="-10"/>
        </w:rPr>
        <w:t>元，购置了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台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UV-</w:t>
      </w:r>
      <w:r>
        <w:rPr>
          <w:rFonts w:ascii="FangSong" w:hAnsi="FangSong" w:eastAsia="FangSong" w:cs="FangSong"/>
          <w:sz w:val="28"/>
          <w:szCs w:val="28"/>
          <w:spacing w:val="-10"/>
        </w:rPr>
        <w:t>双光束紫外可见分光光度计、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台体式显微镜、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部华测</w:t>
      </w:r>
      <w:r>
        <w:rPr>
          <w:rFonts w:ascii="Times New Roman" w:hAnsi="Times New Roman" w:eastAsia="Times New Roman" w:cs="Times New Roman"/>
          <w:sz w:val="28"/>
          <w:szCs w:val="28"/>
        </w:rPr>
        <w:t>RTK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等一批实验仪器，并对气相色谱仪进行升级改造。</w:t>
      </w:r>
      <w:r>
        <w:rPr>
          <w:rFonts w:ascii="FangSong" w:hAnsi="FangSong" w:eastAsia="FangSong" w:cs="FangSong"/>
          <w:sz w:val="28"/>
          <w:szCs w:val="28"/>
          <w:spacing w:val="5"/>
        </w:rPr>
        <w:t>给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研究生教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实验和科学研究提供了一个功能齐全、条件完善的科研环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境</w:t>
      </w:r>
      <w:r>
        <w:rPr>
          <w:rFonts w:ascii="FangSong" w:hAnsi="FangSong" w:eastAsia="FangSong" w:cs="FangSong"/>
          <w:sz w:val="28"/>
          <w:szCs w:val="28"/>
          <w:spacing w:val="-8"/>
        </w:rPr>
        <w:t>。</w:t>
      </w:r>
    </w:p>
    <w:p>
      <w:pPr>
        <w:sectPr>
          <w:footerReference w:type="default" r:id="rId57"/>
          <w:pgSz w:w="11906" w:h="16839"/>
          <w:pgMar w:top="400" w:right="1558" w:bottom="1168" w:left="1785" w:header="0" w:footer="1008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3118"/>
        <w:spacing w:before="74" w:line="229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4"/>
        </w:rPr>
        <w:t>表</w:t>
      </w:r>
      <w:r>
        <w:rPr>
          <w:rFonts w:ascii="FangSong" w:hAnsi="FangSong" w:eastAsia="FangSong" w:cs="FangSong"/>
          <w:sz w:val="23"/>
          <w:szCs w:val="23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>11</w:t>
      </w:r>
      <w:r>
        <w:rPr>
          <w:rFonts w:ascii="Times New Roman" w:hAnsi="Times New Roman" w:eastAsia="Times New Roman" w:cs="Times New Roman"/>
          <w:sz w:val="23"/>
          <w:szCs w:val="23"/>
          <w:spacing w:val="2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2"/>
        </w:rPr>
        <w:t>学位点省级支撑平台</w:t>
      </w:r>
    </w:p>
    <w:p>
      <w:pPr>
        <w:spacing w:line="146" w:lineRule="exact"/>
        <w:rPr/>
      </w:pPr>
      <w:r/>
    </w:p>
    <w:tbl>
      <w:tblPr>
        <w:tblStyle w:val="2"/>
        <w:tblW w:w="852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2"/>
        <w:gridCol w:w="2300"/>
        <w:gridCol w:w="4204"/>
      </w:tblGrid>
      <w:tr>
        <w:trPr>
          <w:trHeight w:val="569" w:hRule="atLeast"/>
        </w:trPr>
        <w:tc>
          <w:tcPr>
            <w:tcW w:w="2022" w:type="dxa"/>
            <w:vAlign w:val="top"/>
          </w:tcPr>
          <w:p>
            <w:pPr>
              <w:ind w:left="598"/>
              <w:spacing w:before="170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平台名称</w:t>
            </w:r>
          </w:p>
        </w:tc>
        <w:tc>
          <w:tcPr>
            <w:tcW w:w="2300" w:type="dxa"/>
            <w:vAlign w:val="top"/>
          </w:tcPr>
          <w:p>
            <w:pPr>
              <w:ind w:left="736"/>
              <w:spacing w:before="170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平台级别</w:t>
            </w:r>
          </w:p>
        </w:tc>
        <w:tc>
          <w:tcPr>
            <w:tcW w:w="4204" w:type="dxa"/>
            <w:vAlign w:val="top"/>
          </w:tcPr>
          <w:p>
            <w:pPr>
              <w:ind w:left="1088"/>
              <w:spacing w:before="170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对人才培养支撑作用</w:t>
            </w:r>
          </w:p>
        </w:tc>
      </w:tr>
      <w:tr>
        <w:trPr>
          <w:trHeight w:val="1280" w:hRule="atLeast"/>
        </w:trPr>
        <w:tc>
          <w:tcPr>
            <w:tcW w:w="2022" w:type="dxa"/>
            <w:vAlign w:val="top"/>
          </w:tcPr>
          <w:p>
            <w:pPr>
              <w:ind w:left="65" w:right="49"/>
              <w:spacing w:before="204" w:line="26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南省热带海岛地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表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过程与环境变化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重点实验室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(筹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)</w:t>
            </w:r>
          </w:p>
        </w:tc>
        <w:tc>
          <w:tcPr>
            <w:tcW w:w="2300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ind w:left="20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南省重点实验室</w:t>
            </w:r>
          </w:p>
        </w:tc>
        <w:tc>
          <w:tcPr>
            <w:tcW w:w="4204" w:type="dxa"/>
            <w:vAlign w:val="top"/>
          </w:tcPr>
          <w:p>
            <w:pPr>
              <w:ind w:left="17" w:firstLine="9"/>
              <w:spacing w:before="204" w:line="26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为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研究生培养提供了实训场所，有利于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实践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教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学的开展；学生在实验室完成创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新项</w:t>
            </w:r>
            <w:r>
              <w:rPr>
                <w:rFonts w:ascii="FangSong" w:hAnsi="FangSong" w:eastAsia="FangSong" w:cs="FangSong"/>
                <w:sz w:val="23"/>
                <w:szCs w:val="23"/>
                <w:spacing w:val="3"/>
              </w:rPr>
              <w:t>目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，动手能力增强，提高创新能力。</w:t>
            </w:r>
          </w:p>
        </w:tc>
      </w:tr>
      <w:tr>
        <w:trPr>
          <w:trHeight w:val="2326" w:hRule="atLeast"/>
        </w:trPr>
        <w:tc>
          <w:tcPr>
            <w:tcW w:w="20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76"/>
              <w:spacing w:before="74" w:line="228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宫</w:t>
            </w:r>
            <w:r>
              <w:rPr>
                <w:rFonts w:ascii="FangSong" w:hAnsi="FangSong" w:eastAsia="FangSong" w:cs="FangSong"/>
                <w:sz w:val="23"/>
                <w:szCs w:val="23"/>
                <w:spacing w:val="6"/>
              </w:rPr>
              <w:t>辉力院士工作站</w:t>
            </w:r>
          </w:p>
        </w:tc>
        <w:tc>
          <w:tcPr>
            <w:tcW w:w="23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83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海南省院士创新平台</w:t>
            </w:r>
          </w:p>
        </w:tc>
        <w:tc>
          <w:tcPr>
            <w:tcW w:w="4204" w:type="dxa"/>
            <w:vAlign w:val="top"/>
          </w:tcPr>
          <w:p>
            <w:pPr>
              <w:ind w:left="15" w:right="116" w:firstLine="7"/>
              <w:spacing w:before="262" w:line="25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通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过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院士团队的指导，借鉴高水平大学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究生培养、管理的经验，提高学位点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究生培养质量；通过与院士所在大学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合培养研究生，加强了学校与学校之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间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的沟通、学生之间的沟通，提高研究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生创新思维和多元化视角。</w:t>
            </w:r>
          </w:p>
        </w:tc>
      </w:tr>
      <w:tr>
        <w:trPr>
          <w:trHeight w:val="2286" w:hRule="atLeast"/>
        </w:trPr>
        <w:tc>
          <w:tcPr>
            <w:tcW w:w="2022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814" w:right="49" w:hanging="748"/>
              <w:spacing w:before="75" w:line="26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王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颖院士团队创新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14"/>
              </w:rPr>
              <w:t>中</w:t>
            </w:r>
            <w:r>
              <w:rPr>
                <w:rFonts w:ascii="FangSong" w:hAnsi="FangSong" w:eastAsia="FangSong" w:cs="FangSong"/>
                <w:sz w:val="23"/>
                <w:szCs w:val="23"/>
                <w:spacing w:val="-13"/>
              </w:rPr>
              <w:t>心</w:t>
            </w:r>
          </w:p>
        </w:tc>
        <w:tc>
          <w:tcPr>
            <w:tcW w:w="230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83"/>
              <w:spacing w:before="75" w:line="229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海南省院士创新平台</w:t>
            </w:r>
          </w:p>
        </w:tc>
        <w:tc>
          <w:tcPr>
            <w:tcW w:w="4204" w:type="dxa"/>
            <w:vAlign w:val="top"/>
          </w:tcPr>
          <w:p>
            <w:pPr>
              <w:ind w:left="15" w:right="116" w:firstLine="7"/>
              <w:spacing w:before="244" w:line="25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6"/>
              </w:rPr>
              <w:t>通</w:t>
            </w: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过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院士团队的指导，借鉴高水平大学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究生培养、管理的经验，提高学位点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究生培养质量；通过与院士所在大学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联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合培养研究生，加强了学校与学校之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间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的沟通、学生之间的沟通，提高研究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生创新思维和多元化视角。</w:t>
            </w:r>
          </w:p>
        </w:tc>
      </w:tr>
      <w:tr>
        <w:trPr>
          <w:trHeight w:val="1804" w:hRule="atLeast"/>
        </w:trPr>
        <w:tc>
          <w:tcPr>
            <w:tcW w:w="2022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786" w:right="49" w:hanging="721"/>
              <w:spacing w:before="75" w:line="26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3"/>
              </w:rPr>
              <w:t>海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南省职工创新工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作室</w:t>
            </w:r>
          </w:p>
        </w:tc>
        <w:tc>
          <w:tcPr>
            <w:tcW w:w="230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803"/>
              <w:spacing w:before="75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海南省</w:t>
            </w:r>
          </w:p>
        </w:tc>
        <w:tc>
          <w:tcPr>
            <w:tcW w:w="4204" w:type="dxa"/>
            <w:vAlign w:val="top"/>
          </w:tcPr>
          <w:p>
            <w:pPr>
              <w:ind w:left="19" w:right="116"/>
              <w:spacing w:before="162" w:line="25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培养人文地理学方向青年教师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人，聚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焦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乡村贫困、乡村振兴、海南自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由贸易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港建设等领域，基于工作室支撑获批省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自然科学基金人才项目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项，发表学术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论文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5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5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-5"/>
              </w:rPr>
              <w:t>篇。</w:t>
            </w:r>
          </w:p>
        </w:tc>
      </w:tr>
      <w:tr>
        <w:trPr>
          <w:trHeight w:val="1819" w:hRule="atLeast"/>
        </w:trPr>
        <w:tc>
          <w:tcPr>
            <w:tcW w:w="2022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65" w:right="49" w:hanging="1"/>
              <w:spacing w:before="75" w:line="260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澄迈美亭农林复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合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生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态系统海南省野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外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科学观测研究站</w:t>
            </w:r>
          </w:p>
        </w:tc>
        <w:tc>
          <w:tcPr>
            <w:tcW w:w="230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800" w:right="69" w:hanging="717"/>
              <w:spacing w:before="74" w:line="265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海南省野外科学观测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研究</w:t>
            </w: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站</w:t>
            </w:r>
          </w:p>
        </w:tc>
        <w:tc>
          <w:tcPr>
            <w:tcW w:w="4204" w:type="dxa"/>
            <w:vAlign w:val="top"/>
          </w:tcPr>
          <w:p>
            <w:pPr>
              <w:ind w:left="19" w:right="116" w:hanging="1"/>
              <w:spacing w:before="162" w:line="256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0"/>
              </w:rPr>
              <w:t>野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外台站开展的水、土、气观测，为研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究生提供了参与野外基础数据收集，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参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与野外实验布置、监测的实验平台，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对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提升研究生的科研素养以及师生交流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合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 xml:space="preserve"> </w:t>
            </w:r>
            <w:r>
              <w:rPr>
                <w:rFonts w:ascii="FangSong" w:hAnsi="FangSong" w:eastAsia="FangSong" w:cs="FangSong"/>
                <w:sz w:val="23"/>
                <w:szCs w:val="23"/>
                <w:spacing w:val="9"/>
              </w:rPr>
              <w:t>作</w:t>
            </w:r>
            <w:r>
              <w:rPr>
                <w:rFonts w:ascii="FangSong" w:hAnsi="FangSong" w:eastAsia="FangSong" w:cs="FangSong"/>
                <w:sz w:val="23"/>
                <w:szCs w:val="23"/>
                <w:spacing w:val="7"/>
              </w:rPr>
              <w:t>具有重要支撑作用。</w:t>
            </w:r>
          </w:p>
        </w:tc>
      </w:tr>
    </w:tbl>
    <w:p>
      <w:pPr>
        <w:ind w:left="688"/>
        <w:spacing w:before="169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三)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奖助体系</w:t>
      </w:r>
    </w:p>
    <w:p>
      <w:pPr>
        <w:ind w:left="702"/>
        <w:spacing w:before="159" w:line="24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．研究生奖学金</w:t>
      </w:r>
    </w:p>
    <w:p>
      <w:pPr>
        <w:ind w:left="688"/>
        <w:spacing w:before="179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1</w:t>
      </w:r>
      <w:r>
        <w:rPr>
          <w:rFonts w:ascii="FangSong" w:hAnsi="FangSong" w:eastAsia="FangSong" w:cs="FangSong"/>
          <w:sz w:val="28"/>
          <w:szCs w:val="28"/>
          <w:spacing w:val="10"/>
        </w:rPr>
        <w:t>)</w:t>
      </w:r>
      <w:r>
        <w:rPr>
          <w:rFonts w:ascii="FangSong" w:hAnsi="FangSong" w:eastAsia="FangSong" w:cs="FangSong"/>
          <w:sz w:val="28"/>
          <w:szCs w:val="28"/>
          <w:spacing w:val="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0"/>
        </w:rPr>
        <w:t>研究生国家奖学金</w:t>
      </w:r>
    </w:p>
    <w:p>
      <w:pPr>
        <w:ind w:left="130" w:right="66" w:firstLine="557"/>
        <w:spacing w:before="209" w:line="36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研究生</w:t>
      </w:r>
      <w:r>
        <w:rPr>
          <w:rFonts w:ascii="FangSong" w:hAnsi="FangSong" w:eastAsia="FangSong" w:cs="FangSong"/>
          <w:sz w:val="28"/>
          <w:szCs w:val="28"/>
          <w:spacing w:val="-3"/>
        </w:rPr>
        <w:t>国</w:t>
      </w:r>
      <w:r>
        <w:rPr>
          <w:rFonts w:ascii="FangSong" w:hAnsi="FangSong" w:eastAsia="FangSong" w:cs="FangSong"/>
          <w:sz w:val="28"/>
          <w:szCs w:val="28"/>
          <w:spacing w:val="-2"/>
        </w:rPr>
        <w:t>家奖学金用于奖励纳入全国招生计划、具有中国国籍、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各方面表现优</w:t>
      </w:r>
      <w:r>
        <w:rPr>
          <w:rFonts w:ascii="FangSong" w:hAnsi="FangSong" w:eastAsia="FangSong" w:cs="FangSong"/>
          <w:sz w:val="28"/>
          <w:szCs w:val="28"/>
          <w:spacing w:val="-4"/>
        </w:rPr>
        <w:t>异</w:t>
      </w:r>
      <w:r>
        <w:rPr>
          <w:rFonts w:ascii="FangSong" w:hAnsi="FangSong" w:eastAsia="FangSong" w:cs="FangSong"/>
          <w:sz w:val="28"/>
          <w:szCs w:val="28"/>
          <w:spacing w:val="-3"/>
        </w:rPr>
        <w:t>的全日制在校研究生。国家奖学金的奖励名额及资金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由国家下达。硕士研究生奖励标准为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万元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FangSong" w:hAnsi="FangSong" w:eastAsia="FangSong" w:cs="FangSong"/>
          <w:sz w:val="28"/>
          <w:szCs w:val="28"/>
        </w:rPr>
        <w:t>生</w:t>
      </w:r>
      <w:r>
        <w:rPr>
          <w:rFonts w:ascii="Times New Roman" w:hAnsi="Times New Roman" w:eastAsia="Times New Roman" w:cs="Times New Roman"/>
          <w:sz w:val="28"/>
          <w:szCs w:val="28"/>
        </w:rPr>
        <w:t>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年。</w:t>
      </w:r>
    </w:p>
    <w:p>
      <w:pPr>
        <w:sectPr>
          <w:footerReference w:type="default" r:id="rId58"/>
          <w:pgSz w:w="11906" w:h="16839"/>
          <w:pgMar w:top="400" w:right="1687" w:bottom="1168" w:left="1687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89"/>
        <w:spacing w:before="91" w:line="223" w:lineRule="auto"/>
        <w:rPr>
          <w:rFonts w:ascii="FangSong" w:hAnsi="FangSong" w:eastAsia="FangSong" w:cs="FangSong"/>
          <w:sz w:val="28"/>
          <w:szCs w:val="28"/>
        </w:rPr>
      </w:pPr>
      <w:bookmarkStart w:name="_bookmark23" w:id="21"/>
      <w:bookmarkEnd w:id="21"/>
      <w:bookmarkStart w:name="_bookmark24" w:id="22"/>
      <w:bookmarkEnd w:id="22"/>
      <w:r>
        <w:rPr>
          <w:rFonts w:ascii="FangSong" w:hAnsi="FangSong" w:eastAsia="FangSong" w:cs="FangSong"/>
          <w:sz w:val="28"/>
          <w:szCs w:val="28"/>
          <w:spacing w:val="1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2</w:t>
      </w:r>
      <w:r>
        <w:rPr>
          <w:rFonts w:ascii="FangSong" w:hAnsi="FangSong" w:eastAsia="FangSong" w:cs="FangSong"/>
          <w:sz w:val="28"/>
          <w:szCs w:val="28"/>
          <w:spacing w:val="10"/>
        </w:rPr>
        <w:t>)</w:t>
      </w:r>
      <w:r>
        <w:rPr>
          <w:rFonts w:ascii="FangSong" w:hAnsi="FangSong" w:eastAsia="FangSong" w:cs="FangSong"/>
          <w:sz w:val="28"/>
          <w:szCs w:val="28"/>
          <w:spacing w:val="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0"/>
        </w:rPr>
        <w:t>研究生学业奖学金</w:t>
      </w:r>
    </w:p>
    <w:p>
      <w:pPr>
        <w:ind w:left="28" w:right="111" w:firstLine="560"/>
        <w:spacing w:before="208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研究生学业奖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金，用于激励研究生勤奋学习、潜心科研、勇于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创新、积极</w:t>
      </w:r>
      <w:r>
        <w:rPr>
          <w:rFonts w:ascii="FangSong" w:hAnsi="FangSong" w:eastAsia="FangSong" w:cs="FangSong"/>
          <w:sz w:val="28"/>
          <w:szCs w:val="28"/>
          <w:spacing w:val="-4"/>
        </w:rPr>
        <w:t>进</w:t>
      </w:r>
      <w:r>
        <w:rPr>
          <w:rFonts w:ascii="FangSong" w:hAnsi="FangSong" w:eastAsia="FangSong" w:cs="FangSong"/>
          <w:sz w:val="28"/>
          <w:szCs w:val="28"/>
          <w:spacing w:val="-3"/>
        </w:rPr>
        <w:t>取，在全面实行研究生教育收费制度的情况下更好地支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持研究生顺</w:t>
      </w:r>
      <w:r>
        <w:rPr>
          <w:rFonts w:ascii="FangSong" w:hAnsi="FangSong" w:eastAsia="FangSong" w:cs="FangSong"/>
          <w:sz w:val="28"/>
          <w:szCs w:val="28"/>
          <w:spacing w:val="-4"/>
        </w:rPr>
        <w:t>利</w:t>
      </w:r>
      <w:r>
        <w:rPr>
          <w:rFonts w:ascii="FangSong" w:hAnsi="FangSong" w:eastAsia="FangSong" w:cs="FangSong"/>
          <w:sz w:val="28"/>
          <w:szCs w:val="28"/>
          <w:spacing w:val="-3"/>
        </w:rPr>
        <w:t>完成学业。学业奖学金由省级财政负担，硕士生按在校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硕士生的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40%</w:t>
      </w:r>
      <w:r>
        <w:rPr>
          <w:rFonts w:ascii="FangSong" w:hAnsi="FangSong" w:eastAsia="FangSong" w:cs="FangSong"/>
          <w:sz w:val="28"/>
          <w:szCs w:val="28"/>
          <w:spacing w:val="-8"/>
        </w:rPr>
        <w:t>拨款，标准为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0.8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万元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/</w:t>
      </w:r>
      <w:r>
        <w:rPr>
          <w:rFonts w:ascii="FangSong" w:hAnsi="FangSong" w:eastAsia="FangSong" w:cs="FangSong"/>
          <w:sz w:val="28"/>
          <w:szCs w:val="28"/>
          <w:spacing w:val="-8"/>
        </w:rPr>
        <w:t>人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·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年。学校在此基础上予以</w:t>
      </w:r>
      <w:r>
        <w:rPr>
          <w:rFonts w:ascii="FangSong" w:hAnsi="FangSong" w:eastAsia="FangSong" w:cs="FangSong"/>
          <w:sz w:val="28"/>
          <w:szCs w:val="28"/>
          <w:spacing w:val="-4"/>
        </w:rPr>
        <w:t>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套，奖励支持表现良好的研究生更好地</w:t>
      </w:r>
      <w:r>
        <w:rPr>
          <w:rFonts w:ascii="FangSong" w:hAnsi="FangSong" w:eastAsia="FangSong" w:cs="FangSong"/>
          <w:sz w:val="28"/>
          <w:szCs w:val="28"/>
        </w:rPr>
        <w:t>完成学业。</w:t>
      </w:r>
    </w:p>
    <w:p>
      <w:pPr>
        <w:ind w:left="33" w:right="111" w:firstLine="554"/>
        <w:spacing w:before="4" w:line="35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研究生学业奖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金的评选范围是纳入全国招生计划、具有中国国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籍、在正常学制</w:t>
      </w:r>
      <w:r>
        <w:rPr>
          <w:rFonts w:ascii="FangSong" w:hAnsi="FangSong" w:eastAsia="FangSong" w:cs="FangSong"/>
          <w:sz w:val="28"/>
          <w:szCs w:val="28"/>
          <w:spacing w:val="-3"/>
        </w:rPr>
        <w:t>内的全日制在校研究生。等级、比例及奖励标准见表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</w:t>
      </w:r>
      <w:r>
        <w:rPr>
          <w:rFonts w:ascii="FangSong" w:hAnsi="FangSong" w:eastAsia="FangSong" w:cs="FangSong"/>
          <w:sz w:val="28"/>
          <w:szCs w:val="28"/>
          <w:spacing w:val="-6"/>
        </w:rPr>
        <w:t>。</w:t>
      </w:r>
    </w:p>
    <w:p>
      <w:pPr>
        <w:ind w:left="2055"/>
        <w:spacing w:line="230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"/>
        </w:rPr>
        <w:t>表</w:t>
      </w:r>
      <w:r>
        <w:rPr>
          <w:rFonts w:ascii="FangSong" w:hAnsi="FangSong" w:eastAsia="FangSong" w:cs="FangSong"/>
          <w:sz w:val="23"/>
          <w:szCs w:val="23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12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rFonts w:ascii="FangSong" w:hAnsi="FangSong" w:eastAsia="FangSong" w:cs="FangSong"/>
          <w:sz w:val="23"/>
          <w:szCs w:val="23"/>
          <w:spacing w:val="1"/>
        </w:rPr>
        <w:t>研</w:t>
      </w:r>
      <w:r>
        <w:rPr>
          <w:rFonts w:ascii="FangSong" w:hAnsi="FangSong" w:eastAsia="FangSong" w:cs="FangSong"/>
          <w:sz w:val="23"/>
          <w:szCs w:val="23"/>
        </w:rPr>
        <w:t>究生学业奖学金等级、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</w:rPr>
        <w:t>比例及奖励标</w:t>
      </w:r>
    </w:p>
    <w:p>
      <w:pPr>
        <w:rPr/>
      </w:pPr>
      <w:r/>
    </w:p>
    <w:p>
      <w:pPr>
        <w:spacing w:line="40" w:lineRule="exact"/>
        <w:rPr/>
      </w:pPr>
      <w:r/>
    </w:p>
    <w:tbl>
      <w:tblPr>
        <w:tblStyle w:val="2"/>
        <w:tblW w:w="8115" w:type="dxa"/>
        <w:tblInd w:w="31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016"/>
        <w:gridCol w:w="1049"/>
        <w:gridCol w:w="3781"/>
        <w:gridCol w:w="1270"/>
      </w:tblGrid>
      <w:tr>
        <w:trPr>
          <w:trHeight w:val="471" w:hRule="atLeast"/>
        </w:trPr>
        <w:tc>
          <w:tcPr>
            <w:tcW w:w="999" w:type="dxa"/>
            <w:vAlign w:val="top"/>
          </w:tcPr>
          <w:p>
            <w:pPr>
              <w:ind w:left="282"/>
              <w:spacing w:before="11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4"/>
              </w:rPr>
              <w:t>学</w:t>
            </w: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段</w:t>
            </w:r>
          </w:p>
        </w:tc>
        <w:tc>
          <w:tcPr>
            <w:tcW w:w="1016" w:type="dxa"/>
            <w:vAlign w:val="top"/>
          </w:tcPr>
          <w:p>
            <w:pPr>
              <w:ind w:left="284"/>
              <w:spacing w:before="116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1"/>
              </w:rPr>
              <w:t>年</w:t>
            </w:r>
            <w:r>
              <w:rPr>
                <w:rFonts w:ascii="FangSong" w:hAnsi="FangSong" w:eastAsia="FangSong" w:cs="FangSong"/>
                <w:sz w:val="23"/>
                <w:szCs w:val="23"/>
              </w:rPr>
              <w:t>级</w:t>
            </w:r>
          </w:p>
        </w:tc>
        <w:tc>
          <w:tcPr>
            <w:tcW w:w="1049" w:type="dxa"/>
            <w:vAlign w:val="top"/>
          </w:tcPr>
          <w:p>
            <w:pPr>
              <w:ind w:left="306"/>
              <w:spacing w:before="117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-3"/>
              </w:rPr>
              <w:t>等</w:t>
            </w:r>
            <w:r>
              <w:rPr>
                <w:rFonts w:ascii="FangSong" w:hAnsi="FangSong" w:eastAsia="FangSong" w:cs="FangSong"/>
                <w:sz w:val="23"/>
                <w:szCs w:val="23"/>
                <w:spacing w:val="-2"/>
              </w:rPr>
              <w:t>级</w:t>
            </w:r>
          </w:p>
        </w:tc>
        <w:tc>
          <w:tcPr>
            <w:tcW w:w="3781" w:type="dxa"/>
            <w:vAlign w:val="top"/>
          </w:tcPr>
          <w:p>
            <w:pPr>
              <w:ind w:left="1438"/>
              <w:spacing w:before="11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4"/>
              </w:rPr>
              <w:t>范</w:t>
            </w: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围比例</w:t>
            </w:r>
          </w:p>
        </w:tc>
        <w:tc>
          <w:tcPr>
            <w:tcW w:w="1270" w:type="dxa"/>
            <w:vAlign w:val="top"/>
          </w:tcPr>
          <w:p>
            <w:pPr>
              <w:ind w:left="409"/>
              <w:spacing w:before="11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金额</w:t>
            </w:r>
          </w:p>
        </w:tc>
      </w:tr>
      <w:tr>
        <w:trPr>
          <w:trHeight w:val="316" w:hRule="atLeast"/>
        </w:trPr>
        <w:tc>
          <w:tcPr>
            <w:tcW w:w="9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75" w:line="232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5"/>
              </w:rPr>
              <w:t>硕士生</w:t>
            </w:r>
          </w:p>
        </w:tc>
        <w:tc>
          <w:tcPr>
            <w:tcW w:w="1016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278"/>
              <w:spacing w:before="197" w:line="23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2"/>
              </w:rPr>
              <w:t>新生</w:t>
            </w:r>
          </w:p>
        </w:tc>
        <w:tc>
          <w:tcPr>
            <w:tcW w:w="1049" w:type="dxa"/>
            <w:vAlign w:val="top"/>
          </w:tcPr>
          <w:p>
            <w:pPr>
              <w:ind w:left="421"/>
              <w:spacing w:before="133" w:line="173" w:lineRule="exact"/>
              <w:rPr>
                <w:rFonts w:ascii="FangSong" w:hAnsi="FangSong" w:eastAsia="FangSong" w:cs="FangSong"/>
                <w:sz w:val="10"/>
                <w:szCs w:val="10"/>
              </w:rPr>
            </w:pPr>
            <w:r>
              <w:rPr>
                <w:rFonts w:ascii="FangSong" w:hAnsi="FangSong" w:eastAsia="FangSong" w:cs="FangSong"/>
                <w:sz w:val="10"/>
                <w:szCs w:val="10"/>
                <w:spacing w:val="120"/>
                <w:position w:val="1"/>
              </w:rPr>
              <w:t>一</w:t>
            </w:r>
          </w:p>
        </w:tc>
        <w:tc>
          <w:tcPr>
            <w:tcW w:w="3781" w:type="dxa"/>
            <w:vAlign w:val="top"/>
          </w:tcPr>
          <w:p>
            <w:pPr>
              <w:ind w:left="587"/>
              <w:spacing w:before="36" w:line="22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2"/>
              </w:rPr>
              <w:t>推</w:t>
            </w: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免生、一志愿录取生源</w:t>
            </w:r>
          </w:p>
        </w:tc>
        <w:tc>
          <w:tcPr>
            <w:tcW w:w="1270" w:type="dxa"/>
            <w:vAlign w:val="top"/>
          </w:tcPr>
          <w:p>
            <w:pPr>
              <w:ind w:left="490"/>
              <w:spacing w:before="78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0.6</w:t>
            </w:r>
          </w:p>
        </w:tc>
      </w:tr>
      <w:tr>
        <w:trPr>
          <w:trHeight w:val="316" w:hRule="atLeast"/>
        </w:trPr>
        <w:tc>
          <w:tcPr>
            <w:tcW w:w="99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ind w:left="425"/>
              <w:spacing w:before="86" w:line="18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二</w:t>
            </w:r>
          </w:p>
        </w:tc>
        <w:tc>
          <w:tcPr>
            <w:tcW w:w="3781" w:type="dxa"/>
            <w:vAlign w:val="top"/>
          </w:tcPr>
          <w:p>
            <w:pPr>
              <w:ind w:left="827"/>
              <w:spacing w:before="38" w:line="223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8"/>
              </w:rPr>
              <w:t>其他符合条件的新生</w:t>
            </w:r>
          </w:p>
        </w:tc>
        <w:tc>
          <w:tcPr>
            <w:tcW w:w="1270" w:type="dxa"/>
            <w:vAlign w:val="top"/>
          </w:tcPr>
          <w:p>
            <w:pPr>
              <w:ind w:left="490"/>
              <w:spacing w:before="79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0.4</w:t>
            </w:r>
          </w:p>
        </w:tc>
      </w:tr>
      <w:tr>
        <w:trPr>
          <w:trHeight w:val="302" w:hRule="atLeast"/>
        </w:trPr>
        <w:tc>
          <w:tcPr>
            <w:tcW w:w="99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75" w:line="237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  <w:spacing w:val="1"/>
              </w:rPr>
              <w:t>老生</w:t>
            </w:r>
          </w:p>
        </w:tc>
        <w:tc>
          <w:tcPr>
            <w:tcW w:w="1049" w:type="dxa"/>
            <w:vAlign w:val="top"/>
          </w:tcPr>
          <w:p>
            <w:pPr>
              <w:ind w:left="421"/>
              <w:spacing w:before="137" w:line="165" w:lineRule="exact"/>
              <w:rPr>
                <w:rFonts w:ascii="FangSong" w:hAnsi="FangSong" w:eastAsia="FangSong" w:cs="FangSong"/>
                <w:sz w:val="10"/>
                <w:szCs w:val="10"/>
              </w:rPr>
            </w:pPr>
            <w:r>
              <w:rPr>
                <w:rFonts w:ascii="FangSong" w:hAnsi="FangSong" w:eastAsia="FangSong" w:cs="FangSong"/>
                <w:sz w:val="10"/>
                <w:szCs w:val="10"/>
                <w:spacing w:val="120"/>
                <w:position w:val="1"/>
              </w:rPr>
              <w:t>一</w:t>
            </w:r>
          </w:p>
        </w:tc>
        <w:tc>
          <w:tcPr>
            <w:tcW w:w="3781" w:type="dxa"/>
            <w:vAlign w:val="top"/>
          </w:tcPr>
          <w:p>
            <w:pPr>
              <w:ind w:left="1696"/>
              <w:spacing w:line="302" w:lineRule="exac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"/>
                <w:position w:val="2"/>
              </w:rPr>
              <w:t>10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"/>
                <w:position w:val="2"/>
              </w:rPr>
              <w:t>%</w:t>
            </w:r>
          </w:p>
        </w:tc>
        <w:tc>
          <w:tcPr>
            <w:tcW w:w="1270" w:type="dxa"/>
            <w:vAlign w:val="top"/>
          </w:tcPr>
          <w:p>
            <w:pPr>
              <w:ind w:left="510"/>
              <w:spacing w:before="80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999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ind w:left="425"/>
              <w:spacing w:before="104" w:line="181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二</w:t>
            </w:r>
          </w:p>
        </w:tc>
        <w:tc>
          <w:tcPr>
            <w:tcW w:w="3781" w:type="dxa"/>
            <w:vAlign w:val="top"/>
          </w:tcPr>
          <w:p>
            <w:pPr>
              <w:ind w:left="1678"/>
              <w:spacing w:before="9" w:line="320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  <w:position w:val="2"/>
              </w:rPr>
              <w:t>30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  <w:position w:val="2"/>
              </w:rPr>
              <w:t>%</w:t>
            </w:r>
          </w:p>
        </w:tc>
        <w:tc>
          <w:tcPr>
            <w:tcW w:w="1270" w:type="dxa"/>
            <w:vAlign w:val="top"/>
          </w:tcPr>
          <w:p>
            <w:pPr>
              <w:ind w:left="490"/>
              <w:spacing w:before="9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3"/>
              </w:rPr>
              <w:t>0.6</w:t>
            </w:r>
          </w:p>
        </w:tc>
      </w:tr>
      <w:tr>
        <w:trPr>
          <w:trHeight w:val="321" w:hRule="atLeast"/>
        </w:trPr>
        <w:tc>
          <w:tcPr>
            <w:tcW w:w="9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9" w:type="dxa"/>
            <w:vAlign w:val="top"/>
          </w:tcPr>
          <w:p>
            <w:pPr>
              <w:ind w:left="424"/>
              <w:spacing w:before="73" w:line="194" w:lineRule="auto"/>
              <w:rPr>
                <w:rFonts w:ascii="FangSong" w:hAnsi="FangSong" w:eastAsia="FangSong" w:cs="FangSong"/>
                <w:sz w:val="23"/>
                <w:szCs w:val="23"/>
              </w:rPr>
            </w:pPr>
            <w:r>
              <w:rPr>
                <w:rFonts w:ascii="FangSong" w:hAnsi="FangSong" w:eastAsia="FangSong" w:cs="FangSong"/>
                <w:sz w:val="23"/>
                <w:szCs w:val="23"/>
              </w:rPr>
              <w:t>三</w:t>
            </w:r>
          </w:p>
        </w:tc>
        <w:tc>
          <w:tcPr>
            <w:tcW w:w="3781" w:type="dxa"/>
            <w:vAlign w:val="top"/>
          </w:tcPr>
          <w:p>
            <w:pPr>
              <w:ind w:left="1679"/>
              <w:spacing w:line="319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4"/>
                <w:position w:val="2"/>
              </w:rPr>
              <w:t>6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  <w:position w:val="2"/>
              </w:rPr>
              <w:t>0%</w:t>
            </w:r>
          </w:p>
        </w:tc>
        <w:tc>
          <w:tcPr>
            <w:tcW w:w="1270" w:type="dxa"/>
            <w:vAlign w:val="top"/>
          </w:tcPr>
          <w:p>
            <w:pPr>
              <w:ind w:left="490"/>
              <w:spacing w:before="81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0.4</w:t>
            </w:r>
          </w:p>
        </w:tc>
      </w:tr>
    </w:tbl>
    <w:p>
      <w:pPr>
        <w:ind w:left="589"/>
        <w:spacing w:before="42"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3</w:t>
      </w:r>
      <w:r>
        <w:rPr>
          <w:rFonts w:ascii="FangSong" w:hAnsi="FangSong" w:eastAsia="FangSong" w:cs="FangSong"/>
          <w:sz w:val="28"/>
          <w:szCs w:val="28"/>
          <w:spacing w:val="8"/>
        </w:rPr>
        <w:t>)</w:t>
      </w:r>
      <w:r>
        <w:rPr>
          <w:rFonts w:ascii="FangSong" w:hAnsi="FangSong" w:eastAsia="FangSong" w:cs="FangSong"/>
          <w:sz w:val="28"/>
          <w:szCs w:val="28"/>
          <w:spacing w:val="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优秀研究生新生奖学金</w:t>
      </w:r>
    </w:p>
    <w:p>
      <w:pPr>
        <w:ind w:left="28" w:right="113" w:firstLine="573"/>
        <w:spacing w:before="208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2"/>
        </w:rPr>
        <w:t>学</w:t>
      </w:r>
      <w:r>
        <w:rPr>
          <w:rFonts w:ascii="FangSong" w:hAnsi="FangSong" w:eastAsia="FangSong" w:cs="FangSong"/>
          <w:sz w:val="28"/>
          <w:szCs w:val="28"/>
          <w:spacing w:val="-9"/>
        </w:rPr>
        <w:t>校</w:t>
      </w:r>
      <w:r>
        <w:rPr>
          <w:rFonts w:ascii="FangSong" w:hAnsi="FangSong" w:eastAsia="FangSong" w:cs="FangSong"/>
          <w:sz w:val="28"/>
          <w:szCs w:val="28"/>
          <w:spacing w:val="-6"/>
        </w:rPr>
        <w:t>一次性给予符合条件的硕博连读生奖学金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万元，本科推免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硕士</w:t>
      </w:r>
      <w:r>
        <w:rPr>
          <w:rFonts w:ascii="FangSong" w:hAnsi="FangSong" w:eastAsia="FangSong" w:cs="FangSong"/>
          <w:sz w:val="28"/>
          <w:szCs w:val="28"/>
          <w:spacing w:val="-6"/>
        </w:rPr>
        <w:t>生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万元，第一志愿报考且录取综合总成绩在培养单位学科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(专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业或领域)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排名前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20%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4"/>
        </w:rPr>
        <w:t>(含)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的全日制硕士生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0.4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万元。</w:t>
      </w:r>
    </w:p>
    <w:p>
      <w:pPr>
        <w:ind w:left="589"/>
        <w:spacing w:before="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FangSong" w:hAnsi="FangSong" w:eastAsia="FangSong" w:cs="FangSong"/>
          <w:sz w:val="28"/>
          <w:szCs w:val="28"/>
          <w:spacing w:val="6"/>
        </w:rPr>
        <w:t>)</w:t>
      </w:r>
      <w:r>
        <w:rPr>
          <w:rFonts w:ascii="FangSong" w:hAnsi="FangSong" w:eastAsia="FangSong" w:cs="FangSong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研究生专项</w:t>
      </w:r>
      <w:r>
        <w:rPr>
          <w:rFonts w:ascii="FangSong" w:hAnsi="FangSong" w:eastAsia="FangSong" w:cs="FangSong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(含社会资助)</w:t>
      </w:r>
      <w:r>
        <w:rPr>
          <w:rFonts w:ascii="FangSong" w:hAnsi="FangSong" w:eastAsia="FangSong" w:cs="FangSong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奖学</w:t>
      </w:r>
      <w:r>
        <w:rPr>
          <w:rFonts w:ascii="FangSong" w:hAnsi="FangSong" w:eastAsia="FangSong" w:cs="FangSong"/>
          <w:sz w:val="28"/>
          <w:szCs w:val="28"/>
          <w:spacing w:val="3"/>
        </w:rPr>
        <w:t>金</w:t>
      </w:r>
    </w:p>
    <w:p>
      <w:pPr>
        <w:ind w:left="29" w:right="113" w:firstLine="559"/>
        <w:spacing w:before="206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研究生专项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(含社会资助)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奖学金是学校利用教学维持费等经费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设立的奖项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或社会团体、企业和个人为支持我校研究生教育而出资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设立的奖项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目的是表彰先进、激励我校研究生奋发学习。学校鼓励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社会各单位</w:t>
      </w:r>
      <w:r>
        <w:rPr>
          <w:rFonts w:ascii="FangSong" w:hAnsi="FangSong" w:eastAsia="FangSong" w:cs="FangSong"/>
          <w:sz w:val="28"/>
          <w:szCs w:val="28"/>
          <w:spacing w:val="-5"/>
        </w:rPr>
        <w:t>和</w:t>
      </w:r>
      <w:r>
        <w:rPr>
          <w:rFonts w:ascii="FangSong" w:hAnsi="FangSong" w:eastAsia="FangSong" w:cs="FangSong"/>
          <w:sz w:val="28"/>
          <w:szCs w:val="28"/>
          <w:spacing w:val="-3"/>
        </w:rPr>
        <w:t>个人出资设立专项奖学金。专项奖学金的评选办法、奖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励标准按照学校有关文件和各专项奖学</w:t>
      </w:r>
      <w:r>
        <w:rPr>
          <w:rFonts w:ascii="FangSong" w:hAnsi="FangSong" w:eastAsia="FangSong" w:cs="FangSong"/>
          <w:sz w:val="28"/>
          <w:szCs w:val="28"/>
        </w:rPr>
        <w:t>金章程执行。</w:t>
      </w:r>
    </w:p>
    <w:p>
      <w:pPr>
        <w:ind w:left="576"/>
        <w:spacing w:line="24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．研究生助学金</w:t>
      </w:r>
    </w:p>
    <w:p>
      <w:pPr>
        <w:ind w:left="589"/>
        <w:spacing w:before="179" w:line="22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1</w:t>
      </w:r>
      <w:r>
        <w:rPr>
          <w:rFonts w:ascii="FangSong" w:hAnsi="FangSong" w:eastAsia="FangSong" w:cs="FangSong"/>
          <w:sz w:val="28"/>
          <w:szCs w:val="28"/>
          <w:spacing w:val="10"/>
        </w:rPr>
        <w:t>)</w:t>
      </w:r>
      <w:r>
        <w:rPr>
          <w:rFonts w:ascii="FangSong" w:hAnsi="FangSong" w:eastAsia="FangSong" w:cs="FangSong"/>
          <w:sz w:val="28"/>
          <w:szCs w:val="28"/>
          <w:spacing w:val="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0"/>
        </w:rPr>
        <w:t>研究生国家助学金</w:t>
      </w:r>
    </w:p>
    <w:p>
      <w:pPr>
        <w:sectPr>
          <w:footerReference w:type="default" r:id="rId59"/>
          <w:pgSz w:w="11906" w:h="16839"/>
          <w:pgMar w:top="400" w:right="1683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70" w:right="8" w:firstLine="559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研究生国家助学</w:t>
      </w:r>
      <w:r>
        <w:rPr>
          <w:rFonts w:ascii="FangSong" w:hAnsi="FangSong" w:eastAsia="FangSong" w:cs="FangSong"/>
          <w:sz w:val="28"/>
          <w:szCs w:val="28"/>
          <w:spacing w:val="-4"/>
        </w:rPr>
        <w:t>金</w:t>
      </w:r>
      <w:r>
        <w:rPr>
          <w:rFonts w:ascii="FangSong" w:hAnsi="FangSong" w:eastAsia="FangSong" w:cs="FangSong"/>
          <w:sz w:val="28"/>
          <w:szCs w:val="28"/>
          <w:spacing w:val="-3"/>
        </w:rPr>
        <w:t>用于补助研究生基本生活支出，发放对象是纳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入全国招生</w:t>
      </w:r>
      <w:r>
        <w:rPr>
          <w:rFonts w:ascii="FangSong" w:hAnsi="FangSong" w:eastAsia="FangSong" w:cs="FangSong"/>
          <w:sz w:val="28"/>
          <w:szCs w:val="28"/>
          <w:spacing w:val="-5"/>
        </w:rPr>
        <w:t>计</w:t>
      </w:r>
      <w:r>
        <w:rPr>
          <w:rFonts w:ascii="FangSong" w:hAnsi="FangSong" w:eastAsia="FangSong" w:cs="FangSong"/>
          <w:sz w:val="28"/>
          <w:szCs w:val="28"/>
          <w:spacing w:val="-3"/>
        </w:rPr>
        <w:t>划、具有中国国籍、在正常学制内且无固定工资收入的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全</w:t>
      </w:r>
      <w:r>
        <w:rPr>
          <w:rFonts w:ascii="FangSong" w:hAnsi="FangSong" w:eastAsia="FangSong" w:cs="FangSong"/>
          <w:sz w:val="28"/>
          <w:szCs w:val="28"/>
          <w:spacing w:val="-5"/>
        </w:rPr>
        <w:t>日</w:t>
      </w:r>
      <w:r>
        <w:rPr>
          <w:rFonts w:ascii="FangSong" w:hAnsi="FangSong" w:eastAsia="FangSong" w:cs="FangSong"/>
          <w:sz w:val="28"/>
          <w:szCs w:val="28"/>
          <w:spacing w:val="-3"/>
        </w:rPr>
        <w:t>制在校研究生。博士研究生资助标准为每生每年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1.3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万元，硕士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研究生资助标</w:t>
      </w:r>
      <w:r>
        <w:rPr>
          <w:rFonts w:ascii="FangSong" w:hAnsi="FangSong" w:eastAsia="FangSong" w:cs="FangSong"/>
          <w:sz w:val="28"/>
          <w:szCs w:val="28"/>
          <w:spacing w:val="-5"/>
        </w:rPr>
        <w:t>准</w:t>
      </w:r>
      <w:r>
        <w:rPr>
          <w:rFonts w:ascii="FangSong" w:hAnsi="FangSong" w:eastAsia="FangSong" w:cs="FangSong"/>
          <w:sz w:val="28"/>
          <w:szCs w:val="28"/>
          <w:spacing w:val="-4"/>
        </w:rPr>
        <w:t>为每生每年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0.6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万元。每年按照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个月发放。</w:t>
      </w:r>
    </w:p>
    <w:p>
      <w:pPr>
        <w:ind w:left="631"/>
        <w:spacing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2</w:t>
      </w:r>
      <w:r>
        <w:rPr>
          <w:rFonts w:ascii="FangSong" w:hAnsi="FangSong" w:eastAsia="FangSong" w:cs="FangSong"/>
          <w:sz w:val="28"/>
          <w:szCs w:val="28"/>
          <w:spacing w:val="7"/>
        </w:rPr>
        <w:t>)</w:t>
      </w:r>
      <w:r>
        <w:rPr>
          <w:rFonts w:ascii="FangSong" w:hAnsi="FangSong" w:eastAsia="FangSong" w:cs="FangSong"/>
          <w:sz w:val="28"/>
          <w:szCs w:val="28"/>
          <w:spacing w:val="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7"/>
        </w:rPr>
        <w:t>研究生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“</w:t>
      </w:r>
      <w:r>
        <w:rPr>
          <w:rFonts w:ascii="FangSong" w:hAnsi="FangSong" w:eastAsia="FangSong" w:cs="FangSong"/>
          <w:sz w:val="28"/>
          <w:szCs w:val="28"/>
          <w:spacing w:val="7"/>
        </w:rPr>
        <w:t>三助一辅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”</w:t>
      </w:r>
      <w:r>
        <w:rPr>
          <w:rFonts w:ascii="FangSong" w:hAnsi="FangSong" w:eastAsia="FangSong" w:cs="FangSong"/>
          <w:sz w:val="28"/>
          <w:szCs w:val="28"/>
          <w:spacing w:val="7"/>
        </w:rPr>
        <w:t>岗位助学</w:t>
      </w:r>
      <w:r>
        <w:rPr>
          <w:rFonts w:ascii="FangSong" w:hAnsi="FangSong" w:eastAsia="FangSong" w:cs="FangSong"/>
          <w:sz w:val="28"/>
          <w:szCs w:val="28"/>
          <w:spacing w:val="3"/>
        </w:rPr>
        <w:t>金</w:t>
      </w:r>
    </w:p>
    <w:p>
      <w:pPr>
        <w:ind w:right="11" w:firstLine="642"/>
        <w:spacing w:before="203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7"/>
        </w:rPr>
        <w:t>学校设立研究生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“</w:t>
      </w:r>
      <w:r>
        <w:rPr>
          <w:rFonts w:ascii="FangSong" w:hAnsi="FangSong" w:eastAsia="FangSong" w:cs="FangSong"/>
          <w:sz w:val="28"/>
          <w:szCs w:val="28"/>
          <w:spacing w:val="7"/>
        </w:rPr>
        <w:t>三助一辅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”</w:t>
      </w:r>
      <w:r>
        <w:rPr>
          <w:rFonts w:ascii="FangSong" w:hAnsi="FangSong" w:eastAsia="FangSong" w:cs="FangSong"/>
          <w:sz w:val="28"/>
          <w:szCs w:val="28"/>
          <w:spacing w:val="7"/>
        </w:rPr>
        <w:t>岗位助学金，用于资助研究生从</w:t>
      </w:r>
      <w:r>
        <w:rPr>
          <w:rFonts w:ascii="FangSong" w:hAnsi="FangSong" w:eastAsia="FangSong" w:cs="FangSong"/>
          <w:sz w:val="28"/>
          <w:szCs w:val="28"/>
          <w:spacing w:val="3"/>
        </w:rPr>
        <w:t>事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</w:t>
      </w:r>
      <w:r>
        <w:rPr>
          <w:rFonts w:ascii="FangSong" w:hAnsi="FangSong" w:eastAsia="FangSong" w:cs="FangSong"/>
          <w:sz w:val="28"/>
          <w:szCs w:val="28"/>
          <w:spacing w:val="1"/>
        </w:rPr>
        <w:t>助教、助研、助管和学生辅导员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”</w:t>
      </w:r>
      <w:r>
        <w:rPr>
          <w:rFonts w:ascii="FangSong" w:hAnsi="FangSong" w:eastAsia="FangSong" w:cs="FangSong"/>
          <w:sz w:val="28"/>
          <w:szCs w:val="28"/>
          <w:spacing w:val="1"/>
        </w:rPr>
        <w:t>工作，全面发挥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</w:t>
      </w:r>
      <w:r>
        <w:rPr>
          <w:rFonts w:ascii="FangSong" w:hAnsi="FangSong" w:eastAsia="FangSong" w:cs="FangSong"/>
          <w:sz w:val="28"/>
          <w:szCs w:val="28"/>
          <w:spacing w:val="1"/>
        </w:rPr>
        <w:t>三助一</w:t>
      </w:r>
      <w:r>
        <w:rPr>
          <w:rFonts w:ascii="FangSong" w:hAnsi="FangSong" w:eastAsia="FangSong" w:cs="FangSong"/>
          <w:sz w:val="28"/>
          <w:szCs w:val="28"/>
        </w:rPr>
        <w:t>辅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FangSong" w:hAnsi="FangSong" w:eastAsia="FangSong" w:cs="FangSong"/>
          <w:sz w:val="28"/>
          <w:szCs w:val="28"/>
        </w:rPr>
        <w:t>对研究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生的培养功能</w:t>
      </w:r>
      <w:r>
        <w:rPr>
          <w:rFonts w:ascii="FangSong" w:hAnsi="FangSong" w:eastAsia="FangSong" w:cs="FangSong"/>
          <w:sz w:val="28"/>
          <w:szCs w:val="28"/>
          <w:spacing w:val="-1"/>
        </w:rPr>
        <w:t>和助困功能，以及对学校人力资源的补充功能。学校按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全日制在校研究生人数</w:t>
      </w:r>
      <w:r>
        <w:rPr>
          <w:rFonts w:ascii="FangSong" w:hAnsi="FangSong" w:eastAsia="FangSong" w:cs="FangSong"/>
          <w:sz w:val="28"/>
          <w:szCs w:val="28"/>
          <w:spacing w:val="1"/>
        </w:rPr>
        <w:t>的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7%</w:t>
      </w:r>
      <w:r>
        <w:rPr>
          <w:rFonts w:ascii="FangSong" w:hAnsi="FangSong" w:eastAsia="FangSong" w:cs="FangSong"/>
          <w:sz w:val="28"/>
          <w:szCs w:val="28"/>
          <w:spacing w:val="1"/>
        </w:rPr>
        <w:t>比例设置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</w:t>
      </w:r>
      <w:r>
        <w:rPr>
          <w:rFonts w:ascii="FangSong" w:hAnsi="FangSong" w:eastAsia="FangSong" w:cs="FangSong"/>
          <w:sz w:val="28"/>
          <w:szCs w:val="28"/>
          <w:spacing w:val="1"/>
        </w:rPr>
        <w:t>三助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”</w:t>
      </w:r>
      <w:r>
        <w:rPr>
          <w:rFonts w:ascii="FangSong" w:hAnsi="FangSong" w:eastAsia="FangSong" w:cs="FangSong"/>
          <w:sz w:val="28"/>
          <w:szCs w:val="28"/>
          <w:spacing w:val="1"/>
        </w:rPr>
        <w:t>岗位。助教和助管岗位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津贴标准为硕士研究生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600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元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FangSong" w:hAnsi="FangSong" w:eastAsia="FangSong" w:cs="FangSong"/>
          <w:sz w:val="28"/>
          <w:szCs w:val="28"/>
          <w:spacing w:val="-1"/>
        </w:rPr>
        <w:t>月，博士研究生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元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FangSong" w:hAnsi="FangSong" w:eastAsia="FangSong" w:cs="FangSong"/>
          <w:sz w:val="28"/>
          <w:szCs w:val="28"/>
          <w:spacing w:val="-1"/>
        </w:rPr>
        <w:t>月；学生辅导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员岗位津贴标准为硕士研究生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元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FangSong" w:hAnsi="FangSong" w:eastAsia="FangSong" w:cs="FangSong"/>
          <w:sz w:val="28"/>
          <w:szCs w:val="28"/>
          <w:spacing w:val="-1"/>
        </w:rPr>
        <w:t>月，博士研究生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元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</w:t>
      </w:r>
      <w:r>
        <w:rPr>
          <w:rFonts w:ascii="FangSong" w:hAnsi="FangSong" w:eastAsia="FangSong" w:cs="FangSong"/>
          <w:sz w:val="28"/>
          <w:szCs w:val="28"/>
          <w:spacing w:val="-1"/>
        </w:rPr>
        <w:t>月；助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研岗位津贴由</w:t>
      </w:r>
      <w:r>
        <w:rPr>
          <w:rFonts w:ascii="FangSong" w:hAnsi="FangSong" w:eastAsia="FangSong" w:cs="FangSong"/>
          <w:sz w:val="28"/>
          <w:szCs w:val="28"/>
          <w:spacing w:val="-1"/>
        </w:rPr>
        <w:t>导师或项目负责人依情况确定，但原则上理工类助研岗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位津</w:t>
      </w:r>
      <w:r>
        <w:rPr>
          <w:rFonts w:ascii="FangSong" w:hAnsi="FangSong" w:eastAsia="FangSong" w:cs="FangSong"/>
          <w:sz w:val="28"/>
          <w:szCs w:val="28"/>
          <w:spacing w:val="-4"/>
        </w:rPr>
        <w:t>贴</w:t>
      </w:r>
      <w:r>
        <w:rPr>
          <w:rFonts w:ascii="FangSong" w:hAnsi="FangSong" w:eastAsia="FangSong" w:cs="FangSong"/>
          <w:sz w:val="28"/>
          <w:szCs w:val="28"/>
          <w:spacing w:val="-3"/>
        </w:rPr>
        <w:t>不得低于每生每月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600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元，人文社科类助研岗位津贴不得低于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每生每月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元。</w:t>
      </w:r>
    </w:p>
    <w:p>
      <w:pPr>
        <w:ind w:left="631"/>
        <w:spacing w:before="7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3</w:t>
      </w:r>
      <w:r>
        <w:rPr>
          <w:rFonts w:ascii="FangSong" w:hAnsi="FangSong" w:eastAsia="FangSong" w:cs="FangSong"/>
          <w:sz w:val="28"/>
          <w:szCs w:val="28"/>
          <w:spacing w:val="8"/>
        </w:rPr>
        <w:t>)</w:t>
      </w:r>
      <w:r>
        <w:rPr>
          <w:rFonts w:ascii="FangSong" w:hAnsi="FangSong" w:eastAsia="FangSong" w:cs="FangSong"/>
          <w:sz w:val="28"/>
          <w:szCs w:val="28"/>
          <w:spacing w:val="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研究生特殊困难救助金</w:t>
      </w:r>
    </w:p>
    <w:p>
      <w:pPr>
        <w:ind w:left="74" w:right="8" w:firstLine="567"/>
        <w:spacing w:before="206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校</w:t>
      </w:r>
      <w:r>
        <w:rPr>
          <w:rFonts w:ascii="FangSong" w:hAnsi="FangSong" w:eastAsia="FangSong" w:cs="FangSong"/>
          <w:sz w:val="28"/>
          <w:szCs w:val="28"/>
          <w:spacing w:val="-4"/>
        </w:rPr>
        <w:t>设立研究生特殊困难救助金，用于补助研究生因个人发生重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大疾病、家庭</w:t>
      </w:r>
      <w:r>
        <w:rPr>
          <w:rFonts w:ascii="FangSong" w:hAnsi="FangSong" w:eastAsia="FangSong" w:cs="FangSong"/>
          <w:sz w:val="28"/>
          <w:szCs w:val="28"/>
          <w:spacing w:val="-4"/>
        </w:rPr>
        <w:t>出</w:t>
      </w:r>
      <w:r>
        <w:rPr>
          <w:rFonts w:ascii="FangSong" w:hAnsi="FangSong" w:eastAsia="FangSong" w:cs="FangSong"/>
          <w:sz w:val="28"/>
          <w:szCs w:val="28"/>
          <w:spacing w:val="-3"/>
        </w:rPr>
        <w:t>现重大变故或家庭经济特别困难等导致生活出现困难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的情况。研</w:t>
      </w:r>
      <w:r>
        <w:rPr>
          <w:rFonts w:ascii="FangSong" w:hAnsi="FangSong" w:eastAsia="FangSong" w:cs="FangSong"/>
          <w:sz w:val="28"/>
          <w:szCs w:val="28"/>
          <w:spacing w:val="-3"/>
        </w:rPr>
        <w:t>究生特殊困难补助由研究生学院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(党委研究生工作部)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视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实际情况发放。</w:t>
      </w:r>
      <w:r>
        <w:rPr>
          <w:rFonts w:ascii="FangSong" w:hAnsi="FangSong" w:eastAsia="FangSong" w:cs="FangSong"/>
          <w:sz w:val="28"/>
          <w:szCs w:val="28"/>
          <w:spacing w:val="-3"/>
        </w:rPr>
        <w:t>各培养单位可根据财力状况，参照学校标准资助本学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院经济困难学生。具体资助办法按照学校有关规定</w:t>
      </w:r>
      <w:r>
        <w:rPr>
          <w:rFonts w:ascii="FangSong" w:hAnsi="FangSong" w:eastAsia="FangSong" w:cs="FangSong"/>
          <w:sz w:val="28"/>
          <w:szCs w:val="28"/>
        </w:rPr>
        <w:t>执行。</w:t>
      </w:r>
    </w:p>
    <w:p>
      <w:pPr>
        <w:ind w:left="623"/>
        <w:spacing w:line="24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．研究生荣誉称号</w:t>
      </w:r>
    </w:p>
    <w:p>
      <w:pPr>
        <w:ind w:left="71" w:right="8" w:firstLine="558"/>
        <w:spacing w:before="178" w:line="36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研究生荣誉称号</w:t>
      </w:r>
      <w:r>
        <w:rPr>
          <w:rFonts w:ascii="FangSong" w:hAnsi="FangSong" w:eastAsia="FangSong" w:cs="FangSong"/>
          <w:sz w:val="28"/>
          <w:szCs w:val="28"/>
          <w:spacing w:val="-4"/>
        </w:rPr>
        <w:t>分</w:t>
      </w:r>
      <w:r>
        <w:rPr>
          <w:rFonts w:ascii="FangSong" w:hAnsi="FangSong" w:eastAsia="FangSong" w:cs="FangSong"/>
          <w:sz w:val="28"/>
          <w:szCs w:val="28"/>
          <w:spacing w:val="-3"/>
        </w:rPr>
        <w:t>先进集体和先进个人两种类型。先进集体包括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优秀研究生会</w:t>
      </w:r>
      <w:r>
        <w:rPr>
          <w:rFonts w:ascii="FangSong" w:hAnsi="FangSong" w:eastAsia="FangSong" w:cs="FangSong"/>
          <w:sz w:val="28"/>
          <w:szCs w:val="28"/>
          <w:spacing w:val="-3"/>
        </w:rPr>
        <w:t>，优秀研究生班集体等。先进个人包括优秀研究生、优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秀研究生干</w:t>
      </w:r>
      <w:r>
        <w:rPr>
          <w:rFonts w:ascii="FangSong" w:hAnsi="FangSong" w:eastAsia="FangSong" w:cs="FangSong"/>
          <w:sz w:val="28"/>
          <w:szCs w:val="28"/>
          <w:spacing w:val="-3"/>
        </w:rPr>
        <w:t>部、优秀毕业研究生、优秀毕业研究生干部、志愿服务先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进个人</w:t>
      </w:r>
      <w:r>
        <w:rPr>
          <w:rFonts w:ascii="FangSong" w:hAnsi="FangSong" w:eastAsia="FangSong" w:cs="FangSong"/>
          <w:sz w:val="28"/>
          <w:szCs w:val="28"/>
          <w:spacing w:val="-3"/>
        </w:rPr>
        <w:t>等，具体类别和层次由研究生学院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(党委研究生工作部)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根据</w:t>
      </w:r>
    </w:p>
    <w:p>
      <w:pPr>
        <w:sectPr>
          <w:footerReference w:type="default" r:id="rId60"/>
          <w:pgSz w:w="11906" w:h="16839"/>
          <w:pgMar w:top="400" w:right="1785" w:bottom="1168" w:left="1744" w:header="0" w:footer="1008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0" w:right="101" w:firstLine="5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实际情况确定。</w:t>
      </w:r>
      <w:r>
        <w:rPr>
          <w:rFonts w:ascii="FangSong" w:hAnsi="FangSong" w:eastAsia="FangSong" w:cs="FangSong"/>
          <w:sz w:val="28"/>
          <w:szCs w:val="28"/>
          <w:spacing w:val="-3"/>
        </w:rPr>
        <w:t>获得研究生荣誉称号的集体和个人由学校或研究生培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养单位颁发荣</w:t>
      </w:r>
      <w:r>
        <w:rPr>
          <w:rFonts w:ascii="FangSong" w:hAnsi="FangSong" w:eastAsia="FangSong" w:cs="FangSong"/>
          <w:sz w:val="28"/>
          <w:szCs w:val="28"/>
          <w:spacing w:val="-1"/>
        </w:rPr>
        <w:t>誉证书和奖励。</w:t>
      </w:r>
    </w:p>
    <w:p>
      <w:pPr>
        <w:ind w:left="29" w:firstLine="561"/>
        <w:spacing w:before="2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本学位点研究生</w:t>
      </w:r>
      <w:r>
        <w:rPr>
          <w:rFonts w:ascii="FangSong" w:hAnsi="FangSong" w:eastAsia="FangSong" w:cs="FangSong"/>
          <w:sz w:val="28"/>
          <w:szCs w:val="28"/>
          <w:spacing w:val="-4"/>
        </w:rPr>
        <w:t>奖</w:t>
      </w:r>
      <w:r>
        <w:rPr>
          <w:rFonts w:ascii="FangSong" w:hAnsi="FangSong" w:eastAsia="FangSong" w:cs="FangSong"/>
          <w:sz w:val="28"/>
          <w:szCs w:val="28"/>
          <w:spacing w:val="-3"/>
        </w:rPr>
        <w:t>助体系的制度以学校为准，学院未单独建立研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究</w:t>
      </w:r>
      <w:r>
        <w:rPr>
          <w:rFonts w:ascii="FangSong" w:hAnsi="FangSong" w:eastAsia="FangSong" w:cs="FangSong"/>
          <w:sz w:val="28"/>
          <w:szCs w:val="28"/>
          <w:spacing w:val="-3"/>
        </w:rPr>
        <w:t>生奖助体系。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年共有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名研究生新生获得新生一等学业奖学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金，每人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6000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元，共计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2.6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万元；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名研究生新生获得优秀研究生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新生奖</w:t>
      </w:r>
      <w:r>
        <w:rPr>
          <w:rFonts w:ascii="FangSong" w:hAnsi="FangSong" w:eastAsia="FangSong" w:cs="FangSong"/>
          <w:sz w:val="28"/>
          <w:szCs w:val="28"/>
          <w:spacing w:val="-7"/>
        </w:rPr>
        <w:t>学</w:t>
      </w:r>
      <w:r>
        <w:rPr>
          <w:rFonts w:ascii="FangSong" w:hAnsi="FangSong" w:eastAsia="FangSong" w:cs="FangSong"/>
          <w:sz w:val="28"/>
          <w:szCs w:val="28"/>
          <w:spacing w:val="-6"/>
        </w:rPr>
        <w:t>金，每人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4000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元，共计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1.6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万元；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名研究生获得一等学业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奖学金，每人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10000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元，</w:t>
      </w:r>
      <w:r>
        <w:rPr>
          <w:rFonts w:ascii="FangSong" w:hAnsi="FangSong" w:eastAsia="FangSong" w:cs="FangSong"/>
          <w:sz w:val="28"/>
          <w:szCs w:val="28"/>
          <w:spacing w:val="-3"/>
        </w:rPr>
        <w:t>共</w:t>
      </w:r>
      <w:r>
        <w:rPr>
          <w:rFonts w:ascii="FangSong" w:hAnsi="FangSong" w:eastAsia="FangSong" w:cs="FangSong"/>
          <w:sz w:val="28"/>
          <w:szCs w:val="28"/>
          <w:spacing w:val="-2"/>
        </w:rPr>
        <w:t>计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3.0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万元；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名研究生获得二等学业奖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学金，每人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6000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元，共计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5.4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万元；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16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名研究生获得二等学</w:t>
      </w:r>
      <w:r>
        <w:rPr>
          <w:rFonts w:ascii="FangSong" w:hAnsi="FangSong" w:eastAsia="FangSong" w:cs="FangSong"/>
          <w:sz w:val="28"/>
          <w:szCs w:val="28"/>
          <w:spacing w:val="-2"/>
        </w:rPr>
        <w:t>业</w:t>
      </w:r>
      <w:r>
        <w:rPr>
          <w:rFonts w:ascii="FangSong" w:hAnsi="FangSong" w:eastAsia="FangSong" w:cs="FangSong"/>
          <w:sz w:val="28"/>
          <w:szCs w:val="28"/>
        </w:rPr>
        <w:t>奖学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金，每</w:t>
      </w:r>
      <w:r>
        <w:rPr>
          <w:rFonts w:ascii="FangSong" w:hAnsi="FangSong" w:eastAsia="FangSong" w:cs="FangSong"/>
          <w:sz w:val="28"/>
          <w:szCs w:val="28"/>
          <w:spacing w:val="-9"/>
        </w:rPr>
        <w:t>人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4000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元，共计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6.4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万元。奖学金总计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29.0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万元。除此以外，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国家给每位研究生每月发放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600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元的国家助学金，一年发放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个月</w:t>
      </w:r>
      <w:r>
        <w:rPr>
          <w:rFonts w:ascii="FangSong" w:hAnsi="FangSong" w:eastAsia="FangSong" w:cs="FangSong"/>
          <w:sz w:val="28"/>
          <w:szCs w:val="28"/>
          <w:spacing w:val="-3"/>
        </w:rPr>
        <w:t>。</w:t>
      </w:r>
    </w:p>
    <w:p>
      <w:pPr>
        <w:ind w:left="589"/>
        <w:spacing w:before="105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四)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管理服务</w:t>
      </w:r>
    </w:p>
    <w:p>
      <w:pPr>
        <w:ind w:left="29" w:right="101" w:firstLine="572"/>
        <w:spacing w:before="158" w:line="36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点专职管理人员为学院院长、书记、分管研究生工作的副院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长、</w:t>
      </w:r>
      <w:r>
        <w:rPr>
          <w:rFonts w:ascii="FangSong" w:hAnsi="FangSong" w:eastAsia="FangSong" w:cs="FangSong"/>
          <w:sz w:val="28"/>
          <w:szCs w:val="28"/>
          <w:spacing w:val="-5"/>
        </w:rPr>
        <w:t>分</w:t>
      </w:r>
      <w:r>
        <w:rPr>
          <w:rFonts w:ascii="FangSong" w:hAnsi="FangSong" w:eastAsia="FangSong" w:cs="FangSong"/>
          <w:sz w:val="28"/>
          <w:szCs w:val="28"/>
          <w:spacing w:val="-3"/>
        </w:rPr>
        <w:t>管学生工作的副书记及研究生秘书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(兼辅导员)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。学院院长在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学校研究生</w:t>
      </w:r>
      <w:r>
        <w:rPr>
          <w:rFonts w:ascii="FangSong" w:hAnsi="FangSong" w:eastAsia="FangSong" w:cs="FangSong"/>
          <w:sz w:val="28"/>
          <w:szCs w:val="28"/>
          <w:spacing w:val="-5"/>
        </w:rPr>
        <w:t>学</w:t>
      </w:r>
      <w:r>
        <w:rPr>
          <w:rFonts w:ascii="FangSong" w:hAnsi="FangSong" w:eastAsia="FangSong" w:cs="FangSong"/>
          <w:sz w:val="28"/>
          <w:szCs w:val="28"/>
          <w:spacing w:val="-3"/>
        </w:rPr>
        <w:t>院的管理下统筹研究生工作，为第一责任人。学院党委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履行研究生</w:t>
      </w:r>
      <w:r>
        <w:rPr>
          <w:rFonts w:ascii="FangSong" w:hAnsi="FangSong" w:eastAsia="FangSong" w:cs="FangSong"/>
          <w:sz w:val="28"/>
          <w:szCs w:val="28"/>
          <w:spacing w:val="-5"/>
        </w:rPr>
        <w:t>思</w:t>
      </w:r>
      <w:r>
        <w:rPr>
          <w:rFonts w:ascii="FangSong" w:hAnsi="FangSong" w:eastAsia="FangSong" w:cs="FangSong"/>
          <w:sz w:val="28"/>
          <w:szCs w:val="28"/>
          <w:spacing w:val="-3"/>
        </w:rPr>
        <w:t>想政治教育工作主体责任，建立起以学院党委书记为第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一责任人、</w:t>
      </w:r>
      <w:r>
        <w:rPr>
          <w:rFonts w:ascii="FangSong" w:hAnsi="FangSong" w:eastAsia="FangSong" w:cs="FangSong"/>
          <w:sz w:val="28"/>
          <w:szCs w:val="28"/>
          <w:spacing w:val="-5"/>
        </w:rPr>
        <w:t>分</w:t>
      </w:r>
      <w:r>
        <w:rPr>
          <w:rFonts w:ascii="FangSong" w:hAnsi="FangSong" w:eastAsia="FangSong" w:cs="FangSong"/>
          <w:sz w:val="28"/>
          <w:szCs w:val="28"/>
          <w:spacing w:val="-3"/>
        </w:rPr>
        <w:t>管学生工作的副书记主抓、辅导员及研究生导师具体实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施的思想</w:t>
      </w:r>
      <w:r>
        <w:rPr>
          <w:rFonts w:ascii="FangSong" w:hAnsi="FangSong" w:eastAsia="FangSong" w:cs="FangSong"/>
          <w:sz w:val="28"/>
          <w:szCs w:val="28"/>
          <w:spacing w:val="-5"/>
        </w:rPr>
        <w:t>政</w:t>
      </w:r>
      <w:r>
        <w:rPr>
          <w:rFonts w:ascii="FangSong" w:hAnsi="FangSong" w:eastAsia="FangSong" w:cs="FangSong"/>
          <w:sz w:val="28"/>
          <w:szCs w:val="28"/>
          <w:spacing w:val="-3"/>
        </w:rPr>
        <w:t>治教育工作机制。建立了一支政治素质过硬、业务水平高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的导师队伍</w:t>
      </w:r>
      <w:r>
        <w:rPr>
          <w:rFonts w:ascii="FangSong" w:hAnsi="FangSong" w:eastAsia="FangSong" w:cs="FangSong"/>
          <w:sz w:val="28"/>
          <w:szCs w:val="28"/>
          <w:spacing w:val="-5"/>
        </w:rPr>
        <w:t>发</w:t>
      </w:r>
      <w:r>
        <w:rPr>
          <w:rFonts w:ascii="FangSong" w:hAnsi="FangSong" w:eastAsia="FangSong" w:cs="FangSong"/>
          <w:sz w:val="28"/>
          <w:szCs w:val="28"/>
          <w:spacing w:val="-3"/>
        </w:rPr>
        <w:t>挥导师言传身教作用，做研究生成长成才的引路人，既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做学业导师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又做人生导师，不断完善思想政治教育体系。研究生学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院制定管理文件，二级学院严格按照</w:t>
      </w:r>
      <w:r>
        <w:rPr>
          <w:rFonts w:ascii="FangSong" w:hAnsi="FangSong" w:eastAsia="FangSong" w:cs="FangSong"/>
          <w:sz w:val="28"/>
          <w:szCs w:val="28"/>
        </w:rPr>
        <w:t>文件执行。</w:t>
      </w:r>
    </w:p>
    <w:p>
      <w:pPr>
        <w:ind w:left="755"/>
        <w:spacing w:before="2" w:line="239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10"/>
        </w:rPr>
        <w:t>五</w:t>
      </w:r>
      <w:r>
        <w:rPr>
          <w:rFonts w:ascii="SimHei" w:hAnsi="SimHei" w:eastAsia="SimHei" w:cs="SimHei"/>
          <w:sz w:val="35"/>
          <w:szCs w:val="35"/>
          <w:spacing w:val="7"/>
        </w:rPr>
        <w:t>、学位点服务贡献</w:t>
      </w:r>
    </w:p>
    <w:p>
      <w:pPr>
        <w:ind w:left="589"/>
        <w:spacing w:before="234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一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服务国家和地区经济发展</w:t>
      </w:r>
    </w:p>
    <w:p>
      <w:pPr>
        <w:ind w:left="601"/>
        <w:spacing w:before="208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1.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国</w:t>
      </w:r>
      <w:r>
        <w:rPr>
          <w:rFonts w:ascii="FangSong" w:hAnsi="FangSong" w:eastAsia="FangSong" w:cs="FangSong"/>
          <w:sz w:val="28"/>
          <w:szCs w:val="28"/>
          <w:spacing w:val="-1"/>
        </w:rPr>
        <w:t>家地名信息库数据质量建设行动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(第二阶段)</w:t>
      </w:r>
    </w:p>
    <w:p>
      <w:pPr>
        <w:ind w:left="35" w:right="73" w:firstLine="554"/>
        <w:spacing w:before="209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地名是历史文化的载体，反映了一个地方的历史变迁。因此，</w:t>
      </w:r>
      <w:r>
        <w:rPr>
          <w:rFonts w:ascii="FangSong" w:hAnsi="FangSong" w:eastAsia="FangSong" w:cs="FangSong"/>
          <w:sz w:val="28"/>
          <w:szCs w:val="28"/>
        </w:rPr>
        <w:t>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年来，国家非常重视地名</w:t>
      </w:r>
      <w:r>
        <w:rPr>
          <w:rFonts w:ascii="FangSong" w:hAnsi="FangSong" w:eastAsia="FangSong" w:cs="FangSong"/>
          <w:sz w:val="28"/>
          <w:szCs w:val="28"/>
          <w:spacing w:val="-3"/>
        </w:rPr>
        <w:t>信</w:t>
      </w:r>
      <w:r>
        <w:rPr>
          <w:rFonts w:ascii="FangSong" w:hAnsi="FangSong" w:eastAsia="FangSong" w:cs="FangSong"/>
          <w:sz w:val="28"/>
          <w:szCs w:val="28"/>
          <w:spacing w:val="-2"/>
        </w:rPr>
        <w:t>息库建设。而为了保证地名信息的质量，</w:t>
      </w:r>
    </w:p>
    <w:p>
      <w:pPr>
        <w:sectPr>
          <w:footerReference w:type="default" r:id="rId61"/>
          <w:pgSz w:w="11906" w:h="16839"/>
          <w:pgMar w:top="400" w:right="1693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29" w:hanging="12"/>
        <w:spacing w:before="91" w:line="359" w:lineRule="auto"/>
        <w:rPr>
          <w:rFonts w:ascii="FangSong" w:hAnsi="FangSong" w:eastAsia="FangSong" w:cs="FangSong"/>
          <w:sz w:val="28"/>
          <w:szCs w:val="28"/>
        </w:rPr>
      </w:pPr>
      <w:bookmarkStart w:name="_bookmark25" w:id="23"/>
      <w:bookmarkEnd w:id="23"/>
      <w:bookmarkStart w:name="_bookmark26" w:id="24"/>
      <w:bookmarkEnd w:id="24"/>
      <w:bookmarkStart w:name="_bookmark27" w:id="25"/>
      <w:bookmarkEnd w:id="25"/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年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月，</w:t>
      </w:r>
      <w:r>
        <w:rPr>
          <w:rFonts w:ascii="FangSong" w:hAnsi="FangSong" w:eastAsia="FangSong" w:cs="FangSong"/>
          <w:sz w:val="28"/>
          <w:szCs w:val="28"/>
          <w:spacing w:val="1"/>
        </w:rPr>
        <w:t>海南省民政厅委托赵志忠教授团队承担了《国家地名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信</w:t>
      </w:r>
      <w:r>
        <w:rPr>
          <w:rFonts w:ascii="FangSong" w:hAnsi="FangSong" w:eastAsia="FangSong" w:cs="FangSong"/>
          <w:sz w:val="28"/>
          <w:szCs w:val="28"/>
          <w:spacing w:val="-8"/>
        </w:rPr>
        <w:t>息</w:t>
      </w:r>
      <w:r>
        <w:rPr>
          <w:rFonts w:ascii="FangSong" w:hAnsi="FangSong" w:eastAsia="FangSong" w:cs="FangSong"/>
          <w:sz w:val="28"/>
          <w:szCs w:val="28"/>
          <w:spacing w:val="-5"/>
        </w:rPr>
        <w:t>库数据质量建设行动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(第二阶段)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》的工作，主要对海南省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多入库地</w:t>
      </w:r>
      <w:r>
        <w:rPr>
          <w:rFonts w:ascii="FangSong" w:hAnsi="FangSong" w:eastAsia="FangSong" w:cs="FangSong"/>
          <w:sz w:val="28"/>
          <w:szCs w:val="28"/>
          <w:spacing w:val="-3"/>
        </w:rPr>
        <w:t>名进行详细审核，以保证《国家地名信息库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(海南省)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》的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质量</w:t>
      </w:r>
      <w:r>
        <w:rPr>
          <w:rFonts w:ascii="FangSong" w:hAnsi="FangSong" w:eastAsia="FangSong" w:cs="FangSong"/>
          <w:sz w:val="28"/>
          <w:szCs w:val="28"/>
          <w:spacing w:val="-3"/>
        </w:rPr>
        <w:t>。由于时间紧、任务重，赵志忠教授团队以白加黑，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加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的拼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命精</w:t>
      </w:r>
      <w:r>
        <w:rPr>
          <w:rFonts w:ascii="FangSong" w:hAnsi="FangSong" w:eastAsia="FangSong" w:cs="FangSong"/>
          <w:sz w:val="28"/>
          <w:szCs w:val="28"/>
          <w:spacing w:val="-3"/>
        </w:rPr>
        <w:t>神，对全省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个市县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万多个地名进行了详细审阅，逐条审阅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地名的含义、</w:t>
      </w:r>
      <w:r>
        <w:rPr>
          <w:rFonts w:ascii="FangSong" w:hAnsi="FangSong" w:eastAsia="FangSong" w:cs="FangSong"/>
          <w:sz w:val="28"/>
          <w:szCs w:val="28"/>
          <w:spacing w:val="-3"/>
        </w:rPr>
        <w:t>历史沿革、地理位置、拼写规范，反复确认每一条信息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的准确性，按时、按质完成了全部地名的审核工作，由于完成质量高</w:t>
      </w:r>
      <w:r>
        <w:rPr>
          <w:rFonts w:ascii="FangSong" w:hAnsi="FangSong" w:eastAsia="FangSong" w:cs="FangSong"/>
          <w:sz w:val="28"/>
          <w:szCs w:val="28"/>
          <w:spacing w:val="-5"/>
        </w:rPr>
        <w:t>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国家民政部还</w:t>
      </w:r>
      <w:r>
        <w:rPr>
          <w:rFonts w:ascii="FangSong" w:hAnsi="FangSong" w:eastAsia="FangSong" w:cs="FangSong"/>
          <w:sz w:val="28"/>
          <w:szCs w:val="28"/>
          <w:spacing w:val="-3"/>
        </w:rPr>
        <w:t>发出简报对海南地名审核工作进行了通报表扬。而海南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地名库质量的提升，也为海南地名与国际</w:t>
      </w:r>
      <w:r>
        <w:rPr>
          <w:rFonts w:ascii="FangSong" w:hAnsi="FangSong" w:eastAsia="FangSong" w:cs="FangSong"/>
          <w:sz w:val="28"/>
          <w:szCs w:val="28"/>
        </w:rPr>
        <w:t>接轨提供了帮助。</w:t>
      </w:r>
    </w:p>
    <w:p>
      <w:pPr>
        <w:ind w:left="584"/>
        <w:spacing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2.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海南省夜间文化和旅</w:t>
      </w:r>
      <w:r>
        <w:rPr>
          <w:rFonts w:ascii="FangSong" w:hAnsi="FangSong" w:eastAsia="FangSong" w:cs="FangSong"/>
          <w:sz w:val="28"/>
          <w:szCs w:val="28"/>
        </w:rPr>
        <w:t>游消费集聚区调查与基础数据采集</w:t>
      </w:r>
    </w:p>
    <w:p>
      <w:pPr>
        <w:ind w:left="29" w:firstLine="560"/>
        <w:spacing w:before="208" w:line="36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建设国际旅游消</w:t>
      </w:r>
      <w:r>
        <w:rPr>
          <w:rFonts w:ascii="FangSong" w:hAnsi="FangSong" w:eastAsia="FangSong" w:cs="FangSong"/>
          <w:sz w:val="28"/>
          <w:szCs w:val="28"/>
          <w:spacing w:val="-5"/>
        </w:rPr>
        <w:t>费</w:t>
      </w:r>
      <w:r>
        <w:rPr>
          <w:rFonts w:ascii="FangSong" w:hAnsi="FangSong" w:eastAsia="FangSong" w:cs="FangSong"/>
          <w:sz w:val="28"/>
          <w:szCs w:val="28"/>
          <w:spacing w:val="-3"/>
        </w:rPr>
        <w:t>中心是海南省自贸港建设的主要目标之一，而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了解海南省</w:t>
      </w:r>
      <w:r>
        <w:rPr>
          <w:rFonts w:ascii="FangSong" w:hAnsi="FangSong" w:eastAsia="FangSong" w:cs="FangSong"/>
          <w:sz w:val="28"/>
          <w:szCs w:val="28"/>
          <w:spacing w:val="-5"/>
        </w:rPr>
        <w:t>旅</w:t>
      </w:r>
      <w:r>
        <w:rPr>
          <w:rFonts w:ascii="FangSong" w:hAnsi="FangSong" w:eastAsia="FangSong" w:cs="FangSong"/>
          <w:sz w:val="28"/>
          <w:szCs w:val="28"/>
          <w:spacing w:val="-3"/>
        </w:rPr>
        <w:t>游消费的现状是建设国际旅游消费中心的前提。夜间旅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游消费作</w:t>
      </w:r>
      <w:r>
        <w:rPr>
          <w:rFonts w:ascii="FangSong" w:hAnsi="FangSong" w:eastAsia="FangSong" w:cs="FangSong"/>
          <w:sz w:val="28"/>
          <w:szCs w:val="28"/>
          <w:spacing w:val="-5"/>
        </w:rPr>
        <w:t>为</w:t>
      </w:r>
      <w:r>
        <w:rPr>
          <w:rFonts w:ascii="FangSong" w:hAnsi="FangSong" w:eastAsia="FangSong" w:cs="FangSong"/>
          <w:sz w:val="28"/>
          <w:szCs w:val="28"/>
          <w:spacing w:val="-3"/>
        </w:rPr>
        <w:t>旅游消费的重要组成，一直是相关部门关注的焦点。为了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更加清晰地了解海南省夜间旅游消费现状，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月，海南师</w:t>
      </w:r>
      <w:r>
        <w:rPr>
          <w:rFonts w:ascii="FangSong" w:hAnsi="FangSong" w:eastAsia="FangSong" w:cs="FangSong"/>
          <w:sz w:val="28"/>
          <w:szCs w:val="28"/>
        </w:rPr>
        <w:t>范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大学赵志忠</w:t>
      </w:r>
      <w:r>
        <w:rPr>
          <w:rFonts w:ascii="FangSong" w:hAnsi="FangSong" w:eastAsia="FangSong" w:cs="FangSong"/>
          <w:sz w:val="28"/>
          <w:szCs w:val="28"/>
          <w:spacing w:val="-5"/>
        </w:rPr>
        <w:t>教</w:t>
      </w:r>
      <w:r>
        <w:rPr>
          <w:rFonts w:ascii="FangSong" w:hAnsi="FangSong" w:eastAsia="FangSong" w:cs="FangSong"/>
          <w:sz w:val="28"/>
          <w:szCs w:val="28"/>
          <w:spacing w:val="-3"/>
        </w:rPr>
        <w:t>授团队受海南省旅文厅委托，承担了《海南省夜间文化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和旅游消费</w:t>
      </w:r>
      <w:r>
        <w:rPr>
          <w:rFonts w:ascii="FangSong" w:hAnsi="FangSong" w:eastAsia="FangSong" w:cs="FangSong"/>
          <w:sz w:val="28"/>
          <w:szCs w:val="28"/>
          <w:spacing w:val="-5"/>
        </w:rPr>
        <w:t>集</w:t>
      </w:r>
      <w:r>
        <w:rPr>
          <w:rFonts w:ascii="FangSong" w:hAnsi="FangSong" w:eastAsia="FangSong" w:cs="FangSong"/>
          <w:sz w:val="28"/>
          <w:szCs w:val="28"/>
          <w:spacing w:val="-3"/>
        </w:rPr>
        <w:t>聚区调查与基础数据采集》项目的调查研究。团队成员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克服新冠疫情的影响，对全省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18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个市县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(三沙市除外)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80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多个有</w:t>
      </w:r>
      <w:r>
        <w:rPr>
          <w:rFonts w:ascii="FangSong" w:hAnsi="FangSong" w:eastAsia="FangSong" w:cs="FangSong"/>
          <w:sz w:val="28"/>
          <w:szCs w:val="28"/>
          <w:spacing w:val="-2"/>
        </w:rPr>
        <w:t>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础、有条件</w:t>
      </w:r>
      <w:r>
        <w:rPr>
          <w:rFonts w:ascii="FangSong" w:hAnsi="FangSong" w:eastAsia="FangSong" w:cs="FangSong"/>
          <w:sz w:val="28"/>
          <w:szCs w:val="28"/>
          <w:spacing w:val="-5"/>
        </w:rPr>
        <w:t>打</w:t>
      </w:r>
      <w:r>
        <w:rPr>
          <w:rFonts w:ascii="FangSong" w:hAnsi="FangSong" w:eastAsia="FangSong" w:cs="FangSong"/>
          <w:sz w:val="28"/>
          <w:szCs w:val="28"/>
          <w:spacing w:val="-3"/>
        </w:rPr>
        <w:t>造成夜间文化和旅游消费集聚区的街区与景区进行了摸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底调查，初</w:t>
      </w:r>
      <w:r>
        <w:rPr>
          <w:rFonts w:ascii="FangSong" w:hAnsi="FangSong" w:eastAsia="FangSong" w:cs="FangSong"/>
          <w:sz w:val="28"/>
          <w:szCs w:val="28"/>
          <w:spacing w:val="-5"/>
        </w:rPr>
        <w:t>步</w:t>
      </w:r>
      <w:r>
        <w:rPr>
          <w:rFonts w:ascii="FangSong" w:hAnsi="FangSong" w:eastAsia="FangSong" w:cs="FangSong"/>
          <w:sz w:val="28"/>
          <w:szCs w:val="28"/>
          <w:spacing w:val="-3"/>
        </w:rPr>
        <w:t>查明了全省夜间文旅消费集聚区的空间布局，同时还对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海南夜经济</w:t>
      </w:r>
      <w:r>
        <w:rPr>
          <w:rFonts w:ascii="FangSong" w:hAnsi="FangSong" w:eastAsia="FangSong" w:cs="FangSong"/>
          <w:sz w:val="28"/>
          <w:szCs w:val="28"/>
          <w:spacing w:val="-5"/>
        </w:rPr>
        <w:t>现</w:t>
      </w:r>
      <w:r>
        <w:rPr>
          <w:rFonts w:ascii="FangSong" w:hAnsi="FangSong" w:eastAsia="FangSong" w:cs="FangSong"/>
          <w:sz w:val="28"/>
          <w:szCs w:val="28"/>
          <w:spacing w:val="-3"/>
        </w:rPr>
        <w:t>状文化旅游业态、用地规模、地理信息数据、集聚区地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图、街区</w:t>
      </w:r>
      <w:r>
        <w:rPr>
          <w:rFonts w:ascii="FangSong" w:hAnsi="FangSong" w:eastAsia="FangSong" w:cs="FangSong"/>
          <w:sz w:val="28"/>
          <w:szCs w:val="28"/>
          <w:spacing w:val="-5"/>
        </w:rPr>
        <w:t>建</w:t>
      </w:r>
      <w:r>
        <w:rPr>
          <w:rFonts w:ascii="FangSong" w:hAnsi="FangSong" w:eastAsia="FangSong" w:cs="FangSong"/>
          <w:sz w:val="28"/>
          <w:szCs w:val="28"/>
          <w:spacing w:val="-3"/>
        </w:rPr>
        <w:t>筑照片、管理机构与体制基础数据进行了调查分析，对夜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经济消费群体进行抽样调查，了解消费群体客源结构、</w:t>
      </w:r>
      <w:r>
        <w:rPr>
          <w:rFonts w:ascii="FangSong" w:hAnsi="FangSong" w:eastAsia="FangSong" w:cs="FangSong"/>
          <w:sz w:val="28"/>
          <w:szCs w:val="28"/>
        </w:rPr>
        <w:t>消费水平等。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研究成果形</w:t>
      </w:r>
      <w:r>
        <w:rPr>
          <w:rFonts w:ascii="FangSong" w:hAnsi="FangSong" w:eastAsia="FangSong" w:cs="FangSong"/>
          <w:sz w:val="28"/>
          <w:szCs w:val="28"/>
          <w:spacing w:val="-5"/>
        </w:rPr>
        <w:t>成</w:t>
      </w:r>
      <w:r>
        <w:rPr>
          <w:rFonts w:ascii="FangSong" w:hAnsi="FangSong" w:eastAsia="FangSong" w:cs="FangSong"/>
          <w:sz w:val="28"/>
          <w:szCs w:val="28"/>
          <w:spacing w:val="-3"/>
        </w:rPr>
        <w:t>了《海南省夜间文化和旅游消费集聚区调查与基础数据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采集</w:t>
      </w:r>
      <w:r>
        <w:rPr>
          <w:rFonts w:ascii="FangSong" w:hAnsi="FangSong" w:eastAsia="FangSong" w:cs="FangSong"/>
          <w:sz w:val="28"/>
          <w:szCs w:val="28"/>
          <w:spacing w:val="-16"/>
        </w:rPr>
        <w:t>》</w:t>
      </w:r>
      <w:r>
        <w:rPr>
          <w:rFonts w:ascii="FangSong" w:hAnsi="FangSong" w:eastAsia="FangSong" w:cs="FangSong"/>
          <w:sz w:val="28"/>
          <w:szCs w:val="28"/>
          <w:spacing w:val="-9"/>
        </w:rPr>
        <w:t>调查报告，报告被海南省旅文厅采纳，得到旅文厅的充分肯定，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8"/>
        </w:rPr>
        <w:t>认</w:t>
      </w:r>
      <w:r>
        <w:rPr>
          <w:rFonts w:ascii="FangSong" w:hAnsi="FangSong" w:eastAsia="FangSong" w:cs="FangSong"/>
          <w:sz w:val="28"/>
          <w:szCs w:val="28"/>
          <w:spacing w:val="6"/>
        </w:rPr>
        <w:t>为该报告为培育并指导海南申报国家级夜间文旅消费集聚区奠定</w:t>
      </w:r>
    </w:p>
    <w:p>
      <w:pPr>
        <w:sectPr>
          <w:footerReference w:type="default" r:id="rId62"/>
          <w:pgSz w:w="11906" w:h="16839"/>
          <w:pgMar w:top="400" w:right="1714" w:bottom="1168" w:left="1785" w:header="0" w:footer="1008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65"/>
        <w:spacing w:before="91" w:line="22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5"/>
        </w:rPr>
        <w:t>了</w:t>
      </w:r>
      <w:r>
        <w:rPr>
          <w:rFonts w:ascii="FangSong" w:hAnsi="FangSong" w:eastAsia="FangSong" w:cs="FangSong"/>
          <w:sz w:val="28"/>
          <w:szCs w:val="28"/>
          <w:spacing w:val="-13"/>
        </w:rPr>
        <w:t>基础。</w:t>
      </w:r>
    </w:p>
    <w:p>
      <w:pPr>
        <w:ind w:left="589"/>
        <w:spacing w:before="204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(二)</w:t>
      </w:r>
      <w:r>
        <w:rPr>
          <w:rFonts w:ascii="FangSong" w:hAnsi="FangSong" w:eastAsia="FangSong" w:cs="FangSong"/>
          <w:sz w:val="28"/>
          <w:szCs w:val="28"/>
          <w:spacing w:val="13"/>
        </w:rPr>
        <w:t xml:space="preserve"> 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促进科技进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1"/>
        </w:rPr>
        <w:t>步</w:t>
      </w:r>
    </w:p>
    <w:p>
      <w:pPr>
        <w:ind w:left="588"/>
        <w:spacing w:before="207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新型污</w:t>
      </w:r>
      <w:r>
        <w:rPr>
          <w:rFonts w:ascii="FangSong" w:hAnsi="FangSong" w:eastAsia="FangSong" w:cs="FangSong"/>
          <w:sz w:val="28"/>
          <w:szCs w:val="28"/>
          <w:spacing w:val="-4"/>
        </w:rPr>
        <w:t>染</w:t>
      </w:r>
      <w:r>
        <w:rPr>
          <w:rFonts w:ascii="FangSong" w:hAnsi="FangSong" w:eastAsia="FangSong" w:cs="FangSong"/>
          <w:sz w:val="28"/>
          <w:szCs w:val="28"/>
          <w:spacing w:val="-3"/>
        </w:rPr>
        <w:t>物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在城市环境中的累积、迁移与归趋</w:t>
      </w:r>
    </w:p>
    <w:p>
      <w:pPr>
        <w:ind w:left="16" w:right="1" w:firstLine="574"/>
        <w:spacing w:before="161" w:line="359" w:lineRule="auto"/>
        <w:tabs>
          <w:tab w:val="left" w:leader="empty" w:pos="170"/>
        </w:tabs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铂族元素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Platinum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roup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Elements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PGEs</w:t>
      </w:r>
      <w:r>
        <w:rPr>
          <w:rFonts w:ascii="FangSong" w:hAnsi="FangSong" w:eastAsia="FangSong" w:cs="FangSong"/>
          <w:sz w:val="28"/>
          <w:szCs w:val="28"/>
          <w:spacing w:val="-2"/>
        </w:rPr>
        <w:t>)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是一类新型污染物，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其</w:t>
      </w:r>
      <w:r>
        <w:rPr>
          <w:rFonts w:ascii="FangSong" w:hAnsi="FangSong" w:eastAsia="FangSong" w:cs="FangSong"/>
          <w:sz w:val="28"/>
          <w:szCs w:val="28"/>
          <w:spacing w:val="-4"/>
        </w:rPr>
        <w:t>污</w:t>
      </w:r>
      <w:r>
        <w:rPr>
          <w:rFonts w:ascii="FangSong" w:hAnsi="FangSong" w:eastAsia="FangSong" w:cs="FangSong"/>
          <w:sz w:val="28"/>
          <w:szCs w:val="28"/>
          <w:spacing w:val="-3"/>
        </w:rPr>
        <w:t>染性发现较晚且研究滞后。海南师范大学刘玉燕教授及其团队围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绕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在城市环境多介质、多界面的累积、迁移与归趋，在国家自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然</w:t>
      </w:r>
      <w:r>
        <w:rPr>
          <w:rFonts w:ascii="FangSong" w:hAnsi="FangSong" w:eastAsia="FangSong" w:cs="FangSong"/>
          <w:sz w:val="28"/>
          <w:szCs w:val="28"/>
          <w:spacing w:val="-16"/>
        </w:rPr>
        <w:t>基</w:t>
      </w:r>
      <w:r>
        <w:rPr>
          <w:rFonts w:ascii="FangSong" w:hAnsi="FangSong" w:eastAsia="FangSong" w:cs="FangSong"/>
          <w:sz w:val="28"/>
          <w:szCs w:val="28"/>
          <w:spacing w:val="-9"/>
        </w:rPr>
        <w:t>金、中国博士后基金等项目的支持下，取得了如下重要科学发现：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ab/>
      </w:r>
      <w:r>
        <w:rPr>
          <w:rFonts w:ascii="FangSong" w:hAnsi="FangSong" w:eastAsia="FangSong" w:cs="FangSong"/>
          <w:sz w:val="28"/>
          <w:szCs w:val="28"/>
          <w:spacing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首次提出“道路灰尘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短期累积过程及作用机</w:t>
      </w:r>
      <w:r>
        <w:rPr>
          <w:rFonts w:ascii="FangSong" w:hAnsi="FangSong" w:eastAsia="FangSong" w:cs="FangSong"/>
          <w:sz w:val="28"/>
          <w:szCs w:val="28"/>
        </w:rPr>
        <w:t>制”等重要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理论，系统</w:t>
      </w:r>
      <w:r>
        <w:rPr>
          <w:rFonts w:ascii="FangSong" w:hAnsi="FangSong" w:eastAsia="FangSong" w:cs="FangSong"/>
          <w:sz w:val="28"/>
          <w:szCs w:val="28"/>
          <w:spacing w:val="-1"/>
        </w:rPr>
        <w:t>阐明气象、气候条件对道路环境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累积的作用机理，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发现径流冲刷与风力是道路灰尘中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迁移转化的主要外力、干旱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区更利于灰尘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</w:t>
      </w:r>
      <w:r>
        <w:rPr>
          <w:rFonts w:ascii="Times New Roman" w:hAnsi="Times New Roman" w:eastAsia="Times New Roman" w:cs="Times New Roman"/>
          <w:sz w:val="28"/>
          <w:szCs w:val="28"/>
        </w:rPr>
        <w:t>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的累积。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>)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在国际上率先揭示了超细颗粒物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PM1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中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的变化规律及影响机制；首次回答了干旱区城市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PGE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6"/>
        </w:rPr>
        <w:t>湿</w:t>
      </w:r>
      <w:r>
        <w:rPr>
          <w:rFonts w:ascii="FangSong" w:hAnsi="FangSong" w:eastAsia="FangSong" w:cs="FangSong"/>
          <w:sz w:val="28"/>
          <w:szCs w:val="28"/>
          <w:spacing w:val="-4"/>
        </w:rPr>
        <w:t>沉</w:t>
      </w:r>
      <w:r>
        <w:rPr>
          <w:rFonts w:ascii="FangSong" w:hAnsi="FangSong" w:eastAsia="FangSong" w:cs="FangSong"/>
          <w:sz w:val="28"/>
          <w:szCs w:val="28"/>
          <w:spacing w:val="-3"/>
        </w:rPr>
        <w:t>降的影响机制问题；发现并阐释了热带海岛城市降雨径流可溶态</w:t>
      </w:r>
    </w:p>
    <w:p>
      <w:pPr>
        <w:ind w:left="16"/>
        <w:spacing w:line="377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  <w:position w:val="1"/>
        </w:rPr>
        <w:t>Pd</w:t>
      </w:r>
      <w:r>
        <w:rPr>
          <w:rFonts w:ascii="Times New Roman" w:hAnsi="Times New Roman" w:eastAsia="Times New Roman" w:cs="Times New Roman"/>
          <w:sz w:val="28"/>
          <w:szCs w:val="28"/>
          <w:spacing w:val="-10"/>
          <w:position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>的初始冲刷效应及其动态变化规律。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5"/>
          <w:position w:val="1"/>
        </w:rPr>
        <w:t>3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>)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  <w:position w:val="1"/>
        </w:rPr>
        <w:t>首次阐明植物对道路环</w:t>
      </w:r>
    </w:p>
    <w:p>
      <w:pPr>
        <w:ind w:left="30" w:firstLine="3"/>
        <w:spacing w:before="163" w:line="364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境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的</w:t>
      </w:r>
      <w:r>
        <w:rPr>
          <w:rFonts w:ascii="FangSong" w:hAnsi="FangSong" w:eastAsia="FangSong" w:cs="FangSong"/>
          <w:sz w:val="28"/>
          <w:szCs w:val="28"/>
          <w:spacing w:val="-8"/>
        </w:rPr>
        <w:t>吸</w:t>
      </w:r>
      <w:r>
        <w:rPr>
          <w:rFonts w:ascii="FangSong" w:hAnsi="FangSong" w:eastAsia="FangSong" w:cs="FangSong"/>
          <w:sz w:val="28"/>
          <w:szCs w:val="28"/>
          <w:spacing w:val="-5"/>
        </w:rPr>
        <w:t>附特性以及吸附规律，提出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中“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Pd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的生物有效性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最大”的观点；验证了汽车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VECs</w:t>
      </w:r>
      <w:r>
        <w:rPr>
          <w:rFonts w:ascii="FangSong" w:hAnsi="FangSong" w:eastAsia="FangSong" w:cs="FangSong"/>
          <w:sz w:val="28"/>
          <w:szCs w:val="28"/>
          <w:spacing w:val="-8"/>
        </w:rPr>
        <w:t>排放是城市环境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PGE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s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的主要来源；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首次提出冬</w:t>
      </w:r>
      <w:r>
        <w:rPr>
          <w:rFonts w:ascii="FangSong" w:hAnsi="FangSong" w:eastAsia="FangSong" w:cs="FangSong"/>
          <w:sz w:val="28"/>
          <w:szCs w:val="28"/>
          <w:spacing w:val="-5"/>
        </w:rPr>
        <w:t>季</w:t>
      </w:r>
      <w:r>
        <w:rPr>
          <w:rFonts w:ascii="FangSong" w:hAnsi="FangSong" w:eastAsia="FangSong" w:cs="FangSong"/>
          <w:sz w:val="28"/>
          <w:szCs w:val="28"/>
          <w:spacing w:val="-3"/>
        </w:rPr>
        <w:t>燃煤排放也是北方城市环境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的主要来源。该项成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果开辟了国</w:t>
      </w:r>
      <w:r>
        <w:rPr>
          <w:rFonts w:ascii="FangSong" w:hAnsi="FangSong" w:eastAsia="FangSong" w:cs="FangSong"/>
          <w:sz w:val="28"/>
          <w:szCs w:val="28"/>
          <w:spacing w:val="-4"/>
        </w:rPr>
        <w:t>内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的系统研究，填补了城市多界面过程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PGEs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迁移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转化研究的空白，不仅促进了城市环境地球化学的学术创新与发</w:t>
      </w:r>
      <w:r>
        <w:rPr>
          <w:rFonts w:ascii="FangSong" w:hAnsi="FangSong" w:eastAsia="FangSong" w:cs="FangSong"/>
          <w:sz w:val="28"/>
          <w:szCs w:val="28"/>
        </w:rPr>
        <w:t>展，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对于推动地理</w:t>
      </w:r>
      <w:r>
        <w:rPr>
          <w:rFonts w:ascii="FangSong" w:hAnsi="FangSong" w:eastAsia="FangSong" w:cs="FangSong"/>
          <w:sz w:val="28"/>
          <w:szCs w:val="28"/>
          <w:spacing w:val="-3"/>
        </w:rPr>
        <w:t>科学、环境科学的发展也具有重大意义。相关研究成果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已</w:t>
      </w:r>
      <w:r>
        <w:rPr>
          <w:rFonts w:ascii="FangSong" w:hAnsi="FangSong" w:eastAsia="FangSong" w:cs="FangSong"/>
          <w:sz w:val="28"/>
          <w:szCs w:val="28"/>
          <w:spacing w:val="-5"/>
        </w:rPr>
        <w:t>在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Science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of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the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Total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Environment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Chemosphere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等国际权威学术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期刊上发表，受到了国内外知名学者的关注和肯定。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年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月，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该</w:t>
      </w:r>
      <w:r>
        <w:rPr>
          <w:rFonts w:ascii="FangSong" w:hAnsi="FangSong" w:eastAsia="FangSong" w:cs="FangSong"/>
          <w:sz w:val="28"/>
          <w:szCs w:val="28"/>
          <w:spacing w:val="-1"/>
        </w:rPr>
        <w:t>成果荣获海南省自然科学奖三等奖。</w:t>
      </w:r>
    </w:p>
    <w:p>
      <w:pPr>
        <w:sectPr>
          <w:footerReference w:type="default" r:id="rId63"/>
          <w:pgSz w:w="11906" w:h="16839"/>
          <w:pgMar w:top="400" w:right="1717" w:bottom="1168" w:left="1785" w:header="0" w:footer="1008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756"/>
        <w:spacing w:before="114" w:line="233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8"/>
        </w:rPr>
        <w:t>六、存在的问题及改进措</w:t>
      </w:r>
      <w:r>
        <w:rPr>
          <w:rFonts w:ascii="SimHei" w:hAnsi="SimHei" w:eastAsia="SimHei" w:cs="SimHei"/>
          <w:sz w:val="35"/>
          <w:szCs w:val="35"/>
          <w:spacing w:val="6"/>
        </w:rPr>
        <w:t>施</w:t>
      </w:r>
    </w:p>
    <w:p>
      <w:pPr>
        <w:ind w:left="589"/>
        <w:spacing w:before="248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一)</w:t>
      </w:r>
      <w:r>
        <w:rPr>
          <w:rFonts w:ascii="SimSun" w:hAnsi="SimSun" w:eastAsia="SimSun" w:cs="SimSun"/>
          <w:sz w:val="28"/>
          <w:szCs w:val="28"/>
          <w:spacing w:val="14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存在的问题</w:t>
      </w:r>
    </w:p>
    <w:p>
      <w:pPr>
        <w:ind w:left="589"/>
        <w:spacing w:before="21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FangSong" w:hAnsi="FangSong" w:eastAsia="FangSong" w:cs="FangSong"/>
          <w:sz w:val="28"/>
          <w:szCs w:val="28"/>
          <w:spacing w:val="6"/>
        </w:rPr>
        <w:t>)</w:t>
      </w:r>
      <w:r>
        <w:rPr>
          <w:rFonts w:ascii="FangSong" w:hAnsi="FangSong" w:eastAsia="FangSong" w:cs="FangSong"/>
          <w:sz w:val="28"/>
          <w:szCs w:val="28"/>
          <w:spacing w:val="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6"/>
        </w:rPr>
        <w:t>学位点研究生教改项目较少。专任教师对研究生教改和</w:t>
      </w:r>
      <w:r>
        <w:rPr>
          <w:rFonts w:ascii="FangSong" w:hAnsi="FangSong" w:eastAsia="FangSong" w:cs="FangSong"/>
          <w:sz w:val="28"/>
          <w:szCs w:val="28"/>
          <w:spacing w:val="4"/>
        </w:rPr>
        <w:t>教</w:t>
      </w:r>
    </w:p>
    <w:p>
      <w:pPr>
        <w:ind w:left="79" w:hanging="34"/>
        <w:spacing w:before="208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改项目认识和重视不够，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申报教改项目时</w:t>
      </w:r>
      <w:r>
        <w:rPr>
          <w:rFonts w:ascii="FangSong" w:hAnsi="FangSong" w:eastAsia="FangSong" w:cs="FangSong"/>
          <w:sz w:val="28"/>
          <w:szCs w:val="28"/>
        </w:rPr>
        <w:t>倾向于申报本科生教改项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0"/>
        </w:rPr>
        <w:t>目；</w:t>
      </w:r>
      <w:r>
        <w:rPr>
          <w:rFonts w:ascii="FangSong" w:hAnsi="FangSong" w:eastAsia="FangSong" w:cs="FangSong"/>
          <w:sz w:val="28"/>
          <w:szCs w:val="28"/>
          <w:spacing w:val="-13"/>
        </w:rPr>
        <w:t>学</w:t>
      </w:r>
      <w:r>
        <w:rPr>
          <w:rFonts w:ascii="FangSong" w:hAnsi="FangSong" w:eastAsia="FangSong" w:cs="FangSong"/>
          <w:sz w:val="28"/>
          <w:szCs w:val="28"/>
          <w:spacing w:val="-10"/>
        </w:rPr>
        <w:t>位点教学团队对教学成果的凝练不够，缺少有创新的教学成果。</w:t>
      </w:r>
    </w:p>
    <w:p>
      <w:pPr>
        <w:ind w:left="31" w:right="103" w:firstLine="558"/>
        <w:spacing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FangSong" w:hAnsi="FangSong" w:eastAsia="FangSong" w:cs="FangSong"/>
          <w:sz w:val="28"/>
          <w:szCs w:val="28"/>
          <w:spacing w:val="4"/>
        </w:rPr>
        <w:t>)</w:t>
      </w:r>
      <w:r>
        <w:rPr>
          <w:rFonts w:ascii="FangSong" w:hAnsi="FangSong" w:eastAsia="FangSong" w:cs="FangSong"/>
          <w:sz w:val="28"/>
          <w:szCs w:val="28"/>
          <w:spacing w:val="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3"/>
        </w:rPr>
        <w:t>高水平科研项目、成果数量少。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3"/>
        </w:rPr>
        <w:t>年教师发表论文质量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较以往虽</w:t>
      </w:r>
      <w:r>
        <w:rPr>
          <w:rFonts w:ascii="FangSong" w:hAnsi="FangSong" w:eastAsia="FangSong" w:cs="FangSong"/>
          <w:sz w:val="28"/>
          <w:szCs w:val="28"/>
          <w:spacing w:val="-1"/>
        </w:rPr>
        <w:t>然有所提高，但数量不多。</w:t>
      </w:r>
    </w:p>
    <w:p>
      <w:pPr>
        <w:ind w:left="589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(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二)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改进措施</w:t>
      </w:r>
    </w:p>
    <w:p>
      <w:pPr>
        <w:ind w:left="32" w:right="60" w:firstLine="544"/>
        <w:spacing w:before="210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4"/>
        </w:rPr>
        <w:t>年学校继续对教改项目申报实施了新的政策，鼓励研究</w:t>
      </w:r>
      <w:r>
        <w:rPr>
          <w:rFonts w:ascii="FangSong" w:hAnsi="FangSong" w:eastAsia="FangSong" w:cs="FangSong"/>
          <w:sz w:val="28"/>
          <w:szCs w:val="28"/>
        </w:rPr>
        <w:t>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导师及任课教师</w:t>
      </w:r>
      <w:r>
        <w:rPr>
          <w:rFonts w:ascii="FangSong" w:hAnsi="FangSong" w:eastAsia="FangSong" w:cs="FangSong"/>
          <w:sz w:val="28"/>
          <w:szCs w:val="28"/>
          <w:spacing w:val="-1"/>
        </w:rPr>
        <w:t>申报研究生教改项目，单列了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年度海南省高等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学校研</w:t>
      </w:r>
      <w:r>
        <w:rPr>
          <w:rFonts w:ascii="FangSong" w:hAnsi="FangSong" w:eastAsia="FangSong" w:cs="FangSong"/>
          <w:sz w:val="28"/>
          <w:szCs w:val="28"/>
          <w:spacing w:val="-3"/>
        </w:rPr>
        <w:t>究</w:t>
      </w:r>
      <w:r>
        <w:rPr>
          <w:rFonts w:ascii="FangSong" w:hAnsi="FangSong" w:eastAsia="FangSong" w:cs="FangSong"/>
          <w:sz w:val="28"/>
          <w:szCs w:val="28"/>
          <w:spacing w:val="-2"/>
        </w:rPr>
        <w:t>生教育教学改革研究项目。学位点鼓励教师积极申报项目、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发表论文，并以团队的形式积极申报海南省教学</w:t>
      </w:r>
      <w:r>
        <w:rPr>
          <w:rFonts w:ascii="FangSong" w:hAnsi="FangSong" w:eastAsia="FangSong" w:cs="FangSong"/>
          <w:sz w:val="28"/>
          <w:szCs w:val="28"/>
        </w:rPr>
        <w:t>成果奖。</w:t>
      </w:r>
    </w:p>
    <w:p>
      <w:pPr>
        <w:ind w:left="31" w:right="101" w:firstLine="570"/>
        <w:spacing w:before="2" w:line="36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学</w:t>
      </w:r>
      <w:r>
        <w:rPr>
          <w:rFonts w:ascii="FangSong" w:hAnsi="FangSong" w:eastAsia="FangSong" w:cs="FangSong"/>
          <w:sz w:val="28"/>
          <w:szCs w:val="28"/>
          <w:spacing w:val="-7"/>
        </w:rPr>
        <w:t>位</w:t>
      </w:r>
      <w:r>
        <w:rPr>
          <w:rFonts w:ascii="FangSong" w:hAnsi="FangSong" w:eastAsia="FangSong" w:cs="FangSong"/>
          <w:sz w:val="28"/>
          <w:szCs w:val="28"/>
          <w:spacing w:val="-4"/>
        </w:rPr>
        <w:t>点需充分调动教师的科学研究积极性，进一步完善科研奖励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政策，营造重</w:t>
      </w:r>
      <w:r>
        <w:rPr>
          <w:rFonts w:ascii="FangSong" w:hAnsi="FangSong" w:eastAsia="FangSong" w:cs="FangSong"/>
          <w:sz w:val="28"/>
          <w:szCs w:val="28"/>
          <w:spacing w:val="-4"/>
        </w:rPr>
        <w:t>视</w:t>
      </w:r>
      <w:r>
        <w:rPr>
          <w:rFonts w:ascii="FangSong" w:hAnsi="FangSong" w:eastAsia="FangSong" w:cs="FangSong"/>
          <w:sz w:val="28"/>
          <w:szCs w:val="28"/>
          <w:spacing w:val="-3"/>
        </w:rPr>
        <w:t>科研、支持科研的良好氛围；定期邀请国内外知名专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家开展学术</w:t>
      </w:r>
      <w:r>
        <w:rPr>
          <w:rFonts w:ascii="FangSong" w:hAnsi="FangSong" w:eastAsia="FangSong" w:cs="FangSong"/>
          <w:sz w:val="28"/>
          <w:szCs w:val="28"/>
          <w:spacing w:val="-4"/>
        </w:rPr>
        <w:t>交</w:t>
      </w:r>
      <w:r>
        <w:rPr>
          <w:rFonts w:ascii="FangSong" w:hAnsi="FangSong" w:eastAsia="FangSong" w:cs="FangSong"/>
          <w:sz w:val="28"/>
          <w:szCs w:val="28"/>
          <w:spacing w:val="-3"/>
        </w:rPr>
        <w:t>流，及时了解学科前沿动向；邀请有经验的评审专家指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导成员修改</w:t>
      </w:r>
      <w:r>
        <w:rPr>
          <w:rFonts w:ascii="FangSong" w:hAnsi="FangSong" w:eastAsia="FangSong" w:cs="FangSong"/>
          <w:sz w:val="28"/>
          <w:szCs w:val="28"/>
          <w:spacing w:val="-4"/>
        </w:rPr>
        <w:t>申</w:t>
      </w:r>
      <w:r>
        <w:rPr>
          <w:rFonts w:ascii="FangSong" w:hAnsi="FangSong" w:eastAsia="FangSong" w:cs="FangSong"/>
          <w:sz w:val="28"/>
          <w:szCs w:val="28"/>
          <w:spacing w:val="-3"/>
        </w:rPr>
        <w:t>报书；在学校对科研奖励的基础上，学科进一步引入激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励机制，充分</w:t>
      </w:r>
      <w:r>
        <w:rPr>
          <w:rFonts w:ascii="FangSong" w:hAnsi="FangSong" w:eastAsia="FangSong" w:cs="FangSong"/>
          <w:sz w:val="28"/>
          <w:szCs w:val="28"/>
          <w:spacing w:val="-4"/>
        </w:rPr>
        <w:t>调</w:t>
      </w:r>
      <w:r>
        <w:rPr>
          <w:rFonts w:ascii="FangSong" w:hAnsi="FangSong" w:eastAsia="FangSong" w:cs="FangSong"/>
          <w:sz w:val="28"/>
          <w:szCs w:val="28"/>
          <w:spacing w:val="-3"/>
        </w:rPr>
        <w:t>动学科团队成员的科学研究积极性；进一步整合学术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资源，发扬团队意识，弘扬合作精神，向高</w:t>
      </w:r>
      <w:r>
        <w:rPr>
          <w:rFonts w:ascii="FangSong" w:hAnsi="FangSong" w:eastAsia="FangSong" w:cs="FangSong"/>
          <w:sz w:val="28"/>
          <w:szCs w:val="28"/>
        </w:rPr>
        <w:t>水平的科研论文冲击。</w:t>
      </w:r>
    </w:p>
    <w:sectPr>
      <w:footerReference w:type="default" r:id="rId64"/>
      <w:pgSz w:w="11906" w:h="16839"/>
      <w:pgMar w:top="400" w:right="1693" w:bottom="1168" w:left="1785" w:header="0" w:footer="100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53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10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4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8"/>
      </w:rPr>
      <w:t>1</w:t>
    </w:r>
    <w:r>
      <w:rPr>
        <w:rFonts w:ascii="Times New Roman" w:hAnsi="Times New Roman" w:eastAsia="Times New Roman" w:cs="Times New Roman"/>
        <w:sz w:val="17"/>
        <w:szCs w:val="17"/>
        <w:spacing w:val="-7"/>
      </w:rPr>
      <w:t>1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49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16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17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3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-5"/>
      </w:rPr>
      <w:t>19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0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9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5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6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7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2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8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2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4"/>
      </w:rPr>
      <w:t>2</w:t>
    </w:r>
    <w:r>
      <w:rPr>
        <w:rFonts w:ascii="Times New Roman" w:hAnsi="Times New Roman" w:eastAsia="Times New Roman" w:cs="Times New Roman"/>
        <w:sz w:val="17"/>
        <w:szCs w:val="17"/>
        <w:spacing w:val="3"/>
      </w:rPr>
      <w:t>9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0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1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3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3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4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5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5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6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7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8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3</w:t>
    </w:r>
    <w:r>
      <w:rPr>
        <w:rFonts w:ascii="Times New Roman" w:hAnsi="Times New Roman" w:eastAsia="Times New Roman" w:cs="Times New Roman"/>
        <w:sz w:val="17"/>
        <w:szCs w:val="17"/>
        <w:spacing w:val="1"/>
      </w:rPr>
      <w:t>9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5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4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1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00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7" Type="http://schemas.openxmlformats.org/officeDocument/2006/relationships/fontTable" Target="fontTable.xml"/><Relationship Id="rId66" Type="http://schemas.openxmlformats.org/officeDocument/2006/relationships/styles" Target="styles.xml"/><Relationship Id="rId65" Type="http://schemas.openxmlformats.org/officeDocument/2006/relationships/settings" Target="settings.xml"/><Relationship Id="rId64" Type="http://schemas.openxmlformats.org/officeDocument/2006/relationships/footer" Target="footer40.xml"/><Relationship Id="rId63" Type="http://schemas.openxmlformats.org/officeDocument/2006/relationships/footer" Target="footer39.xml"/><Relationship Id="rId62" Type="http://schemas.openxmlformats.org/officeDocument/2006/relationships/footer" Target="footer38.xml"/><Relationship Id="rId61" Type="http://schemas.openxmlformats.org/officeDocument/2006/relationships/footer" Target="footer37.xml"/><Relationship Id="rId60" Type="http://schemas.openxmlformats.org/officeDocument/2006/relationships/footer" Target="footer36.xml"/><Relationship Id="rId6" Type="http://schemas.openxmlformats.org/officeDocument/2006/relationships/footer" Target="footer4.xml"/><Relationship Id="rId59" Type="http://schemas.openxmlformats.org/officeDocument/2006/relationships/footer" Target="footer35.xml"/><Relationship Id="rId58" Type="http://schemas.openxmlformats.org/officeDocument/2006/relationships/footer" Target="footer34.xml"/><Relationship Id="rId57" Type="http://schemas.openxmlformats.org/officeDocument/2006/relationships/footer" Target="footer33.xml"/><Relationship Id="rId56" Type="http://schemas.openxmlformats.org/officeDocument/2006/relationships/footer" Target="footer32.xml"/><Relationship Id="rId55" Type="http://schemas.openxmlformats.org/officeDocument/2006/relationships/footer" Target="footer31.xml"/><Relationship Id="rId54" Type="http://schemas.openxmlformats.org/officeDocument/2006/relationships/footer" Target="footer30.xml"/><Relationship Id="rId53" Type="http://schemas.openxmlformats.org/officeDocument/2006/relationships/footer" Target="footer29.xml"/><Relationship Id="rId52" Type="http://schemas.openxmlformats.org/officeDocument/2006/relationships/footer" Target="footer28.xml"/><Relationship Id="rId51" Type="http://schemas.openxmlformats.org/officeDocument/2006/relationships/image" Target="media/image23.jpeg"/><Relationship Id="rId50" Type="http://schemas.openxmlformats.org/officeDocument/2006/relationships/footer" Target="footer27.xml"/><Relationship Id="rId5" Type="http://schemas.openxmlformats.org/officeDocument/2006/relationships/footer" Target="footer3.xml"/><Relationship Id="rId49" Type="http://schemas.openxmlformats.org/officeDocument/2006/relationships/footer" Target="footer26.xml"/><Relationship Id="rId48" Type="http://schemas.openxmlformats.org/officeDocument/2006/relationships/image" Target="media/image22.png"/><Relationship Id="rId47" Type="http://schemas.openxmlformats.org/officeDocument/2006/relationships/footer" Target="footer25.xml"/><Relationship Id="rId46" Type="http://schemas.openxmlformats.org/officeDocument/2006/relationships/image" Target="media/image21.jpeg"/><Relationship Id="rId45" Type="http://schemas.openxmlformats.org/officeDocument/2006/relationships/footer" Target="footer24.xml"/><Relationship Id="rId44" Type="http://schemas.openxmlformats.org/officeDocument/2006/relationships/image" Target="media/image20.jpeg"/><Relationship Id="rId43" Type="http://schemas.openxmlformats.org/officeDocument/2006/relationships/image" Target="media/image19.jpeg"/><Relationship Id="rId42" Type="http://schemas.openxmlformats.org/officeDocument/2006/relationships/footer" Target="footer23.xml"/><Relationship Id="rId41" Type="http://schemas.openxmlformats.org/officeDocument/2006/relationships/image" Target="media/image18.jpeg"/><Relationship Id="rId40" Type="http://schemas.openxmlformats.org/officeDocument/2006/relationships/footer" Target="footer22.xml"/><Relationship Id="rId4" Type="http://schemas.openxmlformats.org/officeDocument/2006/relationships/footer" Target="footer2.xml"/><Relationship Id="rId39" Type="http://schemas.openxmlformats.org/officeDocument/2006/relationships/footer" Target="footer21.xml"/><Relationship Id="rId38" Type="http://schemas.openxmlformats.org/officeDocument/2006/relationships/footer" Target="footer20.xml"/><Relationship Id="rId37" Type="http://schemas.openxmlformats.org/officeDocument/2006/relationships/footer" Target="footer19.xml"/><Relationship Id="rId36" Type="http://schemas.openxmlformats.org/officeDocument/2006/relationships/footer" Target="footer18.xml"/><Relationship Id="rId35" Type="http://schemas.openxmlformats.org/officeDocument/2006/relationships/footer" Target="footer17.xml"/><Relationship Id="rId34" Type="http://schemas.openxmlformats.org/officeDocument/2006/relationships/footer" Target="footer16.xml"/><Relationship Id="rId33" Type="http://schemas.openxmlformats.org/officeDocument/2006/relationships/footer" Target="footer15.xml"/><Relationship Id="rId32" Type="http://schemas.openxmlformats.org/officeDocument/2006/relationships/image" Target="media/image17.png"/><Relationship Id="rId31" Type="http://schemas.openxmlformats.org/officeDocument/2006/relationships/footer" Target="footer14.xml"/><Relationship Id="rId30" Type="http://schemas.openxmlformats.org/officeDocument/2006/relationships/footer" Target="footer13.xml"/><Relationship Id="rId3" Type="http://schemas.openxmlformats.org/officeDocument/2006/relationships/image" Target="media/image1.jpeg"/><Relationship Id="rId29" Type="http://schemas.openxmlformats.org/officeDocument/2006/relationships/image" Target="media/image16.png"/><Relationship Id="rId28" Type="http://schemas.openxmlformats.org/officeDocument/2006/relationships/image" Target="media/image15.jpeg"/><Relationship Id="rId27" Type="http://schemas.openxmlformats.org/officeDocument/2006/relationships/footer" Target="footer12.xml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footer" Target="footer11.xml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footer" Target="footer1.xml"/><Relationship Id="rId19" Type="http://schemas.openxmlformats.org/officeDocument/2006/relationships/footer" Target="footer10.xml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footer" Target="footer9.xml"/><Relationship Id="rId15" Type="http://schemas.openxmlformats.org/officeDocument/2006/relationships/image" Target="media/image6.jpeg"/><Relationship Id="rId14" Type="http://schemas.openxmlformats.org/officeDocument/2006/relationships/footer" Target="footer8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2023-03-28T11:41:42Z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2023-03-28T13:10:51</vt:filetime>
  </op:property>
</op:Properties>
</file>