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ascii="宋体" w:hAnsi="宋体"/>
          <w:sz w:val="52"/>
          <w:u w:val="single"/>
        </w:rPr>
        <w:t>2021</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信息科学技术学院 </w:t>
      </w:r>
      <w:r>
        <w:rPr>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赵志青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讲师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计算机科学与技术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讲师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填表时间：</w:t>
      </w:r>
      <w:r>
        <w:rPr>
          <w:sz w:val="24"/>
        </w:rPr>
        <w:t>2022</w:t>
      </w:r>
      <w:r>
        <w:rPr>
          <w:rFonts w:hint="eastAsia"/>
          <w:sz w:val="24"/>
        </w:rPr>
        <w:t>年</w:t>
      </w:r>
      <w:r>
        <w:rPr>
          <w:sz w:val="24"/>
        </w:rPr>
        <w:t>11</w:t>
      </w:r>
      <w:r>
        <w:rPr>
          <w:rFonts w:hint="eastAsia"/>
          <w:sz w:val="24"/>
        </w:rPr>
        <w:t>月</w:t>
      </w:r>
      <w:r>
        <w:rPr>
          <w:sz w:val="24"/>
        </w:rPr>
        <w:t>29</w:t>
      </w:r>
      <w:r>
        <w:rPr>
          <w:rFonts w:hint="eastAsia"/>
          <w:sz w:val="24"/>
        </w:rPr>
        <w:t>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赵志青</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985.12.12</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bookmarkStart w:id="0" w:name="_GoBack"/>
            <w:bookmarkEnd w:id="0"/>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高等学校教师资格</w:t>
            </w:r>
          </w:p>
          <w:p>
            <w:pPr>
              <w:widowControl/>
              <w:jc w:val="center"/>
              <w:rPr>
                <w:rFonts w:ascii="宋体" w:hAnsi="宋体" w:cs="Arial"/>
                <w:color w:val="000000"/>
                <w:kern w:val="0"/>
                <w:szCs w:val="21"/>
              </w:rPr>
            </w:pPr>
            <w:r>
              <w:rPr>
                <w:rFonts w:hint="eastAsia" w:ascii="宋体" w:hAnsi="宋体" w:cs="Arial"/>
                <w:color w:val="000000"/>
                <w:kern w:val="0"/>
                <w:szCs w:val="21"/>
              </w:rPr>
              <w:t>数学与应用数学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研究生</w:t>
            </w:r>
          </w:p>
          <w:p>
            <w:pPr>
              <w:widowControl/>
              <w:jc w:val="center"/>
              <w:rPr>
                <w:rFonts w:ascii="宋体" w:hAnsi="宋体" w:cs="Arial"/>
                <w:color w:val="000000"/>
                <w:kern w:val="0"/>
                <w:szCs w:val="21"/>
              </w:rPr>
            </w:pPr>
            <w:r>
              <w:rPr>
                <w:rFonts w:hint="eastAsia" w:ascii="宋体" w:hAnsi="宋体" w:cs="Arial"/>
                <w:color w:val="000000"/>
                <w:kern w:val="0"/>
                <w:szCs w:val="21"/>
              </w:rPr>
              <w:t>海南师范大学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硕士研究生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应用数学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教务处</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012.08</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计算机科学与技术</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转评</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讲师</w:t>
            </w:r>
          </w:p>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016</w:t>
            </w:r>
            <w:r>
              <w:rPr>
                <w:rFonts w:hint="eastAsia" w:ascii="宋体" w:hAnsi="宋体" w:cs="Arial"/>
                <w:color w:val="000000"/>
                <w:kern w:val="0"/>
                <w:szCs w:val="21"/>
              </w:rPr>
              <w:t>年</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 w:val="24"/>
                <w:szCs w:val="24"/>
                <w14:textFill>
                  <w14:solidFill>
                    <w14:schemeClr w14:val="tx1"/>
                  </w14:solidFill>
                </w14:textFill>
              </w:rPr>
              <w:sym w:font="Wingdings" w:char="F0FE"/>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时间：</w:t>
            </w:r>
          </w:p>
          <w:p>
            <w:pPr>
              <w:widowControl/>
              <w:jc w:val="left"/>
              <w:rPr>
                <w:rFonts w:ascii="宋体" w:hAnsi="宋体" w:cs="Arial"/>
                <w:color w:val="000000"/>
                <w:kern w:val="0"/>
                <w:szCs w:val="21"/>
              </w:rPr>
            </w:pPr>
            <w:r>
              <w:rPr>
                <w:rFonts w:hint="eastAsia" w:ascii="宋体" w:hAnsi="宋体" w:cs="Arial"/>
                <w:color w:val="000000"/>
                <w:kern w:val="0"/>
                <w:szCs w:val="21"/>
              </w:rPr>
              <w:t>单位：</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年  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网络工程师</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数学与应用数学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职称英语6</w:t>
            </w:r>
            <w:r>
              <w:rPr>
                <w:rFonts w:ascii="宋体" w:hAnsi="宋体" w:cs="Arial"/>
                <w:color w:val="000000"/>
                <w:kern w:val="0"/>
                <w:szCs w:val="21"/>
              </w:rPr>
              <w:t>4</w:t>
            </w:r>
            <w:r>
              <w:rPr>
                <w:rFonts w:hint="eastAsia" w:ascii="宋体" w:hAnsi="宋体" w:cs="Arial"/>
                <w:color w:val="000000"/>
                <w:kern w:val="0"/>
                <w:szCs w:val="21"/>
              </w:rPr>
              <w:t>分</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计算机科学与技术</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讲师</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2002.9-2009.8</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山西大同大学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数学与计算机科学学院</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马小建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2</w:t>
            </w:r>
            <w:r>
              <w:rPr>
                <w:rFonts w:ascii="宋体" w:hAnsi="宋体" w:cs="Arial"/>
                <w:color w:val="000000" w:themeColor="text1"/>
                <w:kern w:val="0"/>
                <w:szCs w:val="21"/>
                <w14:textFill>
                  <w14:solidFill>
                    <w14:schemeClr w14:val="tx1"/>
                  </w14:solidFill>
                </w14:textFill>
              </w:rPr>
              <w:t>009.9-2012.8</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数学与统计学院</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马生全</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bl>
    <w:p/>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976"/>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jc w:val="center"/>
              <w:rPr>
                <w:sz w:val="24"/>
              </w:rPr>
            </w:pPr>
            <w:r>
              <w:rPr>
                <w:rFonts w:hint="eastAsia"/>
                <w:sz w:val="24"/>
              </w:rPr>
              <w:t>起  止  时  间</w:t>
            </w:r>
          </w:p>
        </w:tc>
        <w:tc>
          <w:tcPr>
            <w:tcW w:w="2976"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694" w:type="dxa"/>
            <w:vAlign w:val="center"/>
          </w:tcPr>
          <w:p>
            <w:pPr>
              <w:jc w:val="center"/>
              <w:rPr>
                <w:szCs w:val="21"/>
              </w:rPr>
            </w:pPr>
            <w:r>
              <w:rPr>
                <w:szCs w:val="21"/>
              </w:rPr>
              <w:t>2012</w:t>
            </w:r>
            <w:r>
              <w:rPr>
                <w:rFonts w:hint="eastAsia"/>
                <w:szCs w:val="21"/>
              </w:rPr>
              <w:t>年</w:t>
            </w:r>
            <w:r>
              <w:rPr>
                <w:szCs w:val="21"/>
              </w:rPr>
              <w:t>8</w:t>
            </w:r>
            <w:r>
              <w:rPr>
                <w:rFonts w:hint="eastAsia"/>
                <w:szCs w:val="21"/>
              </w:rPr>
              <w:t>月—</w:t>
            </w:r>
            <w:r>
              <w:rPr>
                <w:szCs w:val="21"/>
              </w:rPr>
              <w:t>2018</w:t>
            </w:r>
            <w:r>
              <w:rPr>
                <w:rFonts w:hint="eastAsia"/>
                <w:szCs w:val="21"/>
              </w:rPr>
              <w:t>年</w:t>
            </w:r>
            <w:r>
              <w:rPr>
                <w:szCs w:val="21"/>
              </w:rPr>
              <w:t>9</w:t>
            </w:r>
            <w:r>
              <w:rPr>
                <w:rFonts w:hint="eastAsia"/>
                <w:szCs w:val="21"/>
              </w:rPr>
              <w:t>月</w:t>
            </w:r>
          </w:p>
        </w:tc>
        <w:tc>
          <w:tcPr>
            <w:tcW w:w="2976" w:type="dxa"/>
            <w:vAlign w:val="center"/>
          </w:tcPr>
          <w:p>
            <w:pPr>
              <w:jc w:val="center"/>
              <w:rPr>
                <w:sz w:val="18"/>
              </w:rPr>
            </w:pPr>
            <w:r>
              <w:rPr>
                <w:rFonts w:hint="eastAsia"/>
                <w:sz w:val="18"/>
              </w:rPr>
              <w:t>海南师范大学信息科学技术学院</w:t>
            </w:r>
          </w:p>
        </w:tc>
        <w:tc>
          <w:tcPr>
            <w:tcW w:w="2410" w:type="dxa"/>
            <w:vAlign w:val="center"/>
          </w:tcPr>
          <w:p>
            <w:pPr>
              <w:jc w:val="center"/>
              <w:rPr>
                <w:sz w:val="18"/>
              </w:rPr>
            </w:pPr>
            <w:r>
              <w:rPr>
                <w:rFonts w:hint="eastAsia"/>
                <w:sz w:val="18"/>
              </w:rPr>
              <w:t>辅导员</w:t>
            </w:r>
          </w:p>
        </w:tc>
        <w:tc>
          <w:tcPr>
            <w:tcW w:w="1701"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694" w:type="dxa"/>
            <w:vAlign w:val="center"/>
          </w:tcPr>
          <w:p>
            <w:pPr>
              <w:rPr>
                <w:sz w:val="18"/>
              </w:rPr>
            </w:pPr>
            <w:r>
              <w:rPr>
                <w:szCs w:val="21"/>
              </w:rPr>
              <w:t>2018</w:t>
            </w:r>
            <w:r>
              <w:rPr>
                <w:rFonts w:hint="eastAsia"/>
                <w:szCs w:val="21"/>
              </w:rPr>
              <w:t>年</w:t>
            </w:r>
            <w:r>
              <w:rPr>
                <w:szCs w:val="21"/>
              </w:rPr>
              <w:t>10</w:t>
            </w:r>
            <w:r>
              <w:rPr>
                <w:rFonts w:hint="eastAsia"/>
                <w:szCs w:val="21"/>
              </w:rPr>
              <w:t>月—至今</w:t>
            </w:r>
          </w:p>
        </w:tc>
        <w:tc>
          <w:tcPr>
            <w:tcW w:w="2976" w:type="dxa"/>
            <w:vAlign w:val="center"/>
          </w:tcPr>
          <w:p>
            <w:pPr>
              <w:jc w:val="center"/>
              <w:rPr>
                <w:sz w:val="18"/>
              </w:rPr>
            </w:pPr>
            <w:r>
              <w:rPr>
                <w:rFonts w:hint="eastAsia"/>
                <w:sz w:val="18"/>
              </w:rPr>
              <w:t>海南师范大学教务处</w:t>
            </w:r>
          </w:p>
        </w:tc>
        <w:tc>
          <w:tcPr>
            <w:tcW w:w="2410" w:type="dxa"/>
            <w:vAlign w:val="center"/>
          </w:tcPr>
          <w:p>
            <w:pPr>
              <w:jc w:val="center"/>
              <w:rPr>
                <w:sz w:val="18"/>
              </w:rPr>
            </w:pPr>
            <w:r>
              <w:rPr>
                <w:rFonts w:hint="eastAsia"/>
                <w:sz w:val="18"/>
              </w:rPr>
              <w:t>计算机科学与技术</w:t>
            </w:r>
          </w:p>
        </w:tc>
        <w:tc>
          <w:tcPr>
            <w:tcW w:w="1701"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694" w:type="dxa"/>
            <w:vAlign w:val="center"/>
          </w:tcPr>
          <w:p>
            <w:pPr>
              <w:jc w:val="center"/>
              <w:rPr>
                <w:sz w:val="18"/>
              </w:rPr>
            </w:pPr>
            <w:r>
              <w:rPr>
                <w:rFonts w:hint="eastAsia"/>
                <w:szCs w:val="21"/>
              </w:rPr>
              <w:t xml:space="preserve"> 年   月—   年   月</w:t>
            </w:r>
          </w:p>
        </w:tc>
        <w:tc>
          <w:tcPr>
            <w:tcW w:w="2976"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694" w:type="dxa"/>
            <w:vAlign w:val="center"/>
          </w:tcPr>
          <w:p>
            <w:pPr>
              <w:jc w:val="center"/>
              <w:rPr>
                <w:szCs w:val="21"/>
              </w:rPr>
            </w:pPr>
            <w:r>
              <w:rPr>
                <w:rFonts w:hint="eastAsia"/>
                <w:szCs w:val="21"/>
              </w:rPr>
              <w:t xml:space="preserve"> 年   月—   年   月</w:t>
            </w:r>
          </w:p>
        </w:tc>
        <w:tc>
          <w:tcPr>
            <w:tcW w:w="2976"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694" w:type="dxa"/>
            <w:vAlign w:val="center"/>
          </w:tcPr>
          <w:p>
            <w:pPr>
              <w:jc w:val="center"/>
              <w:rPr>
                <w:sz w:val="18"/>
              </w:rPr>
            </w:pPr>
            <w:r>
              <w:rPr>
                <w:rFonts w:hint="eastAsia"/>
                <w:szCs w:val="21"/>
              </w:rPr>
              <w:t xml:space="preserve"> 年   月—   年   月</w:t>
            </w:r>
          </w:p>
        </w:tc>
        <w:tc>
          <w:tcPr>
            <w:tcW w:w="2976"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694" w:type="dxa"/>
            <w:vAlign w:val="center"/>
          </w:tcPr>
          <w:p>
            <w:pPr>
              <w:jc w:val="center"/>
              <w:rPr>
                <w:szCs w:val="21"/>
              </w:rPr>
            </w:pPr>
            <w:r>
              <w:rPr>
                <w:rFonts w:hint="eastAsia"/>
                <w:szCs w:val="21"/>
              </w:rPr>
              <w:t xml:space="preserve"> 年   月—   年   月</w:t>
            </w:r>
          </w:p>
        </w:tc>
        <w:tc>
          <w:tcPr>
            <w:tcW w:w="2976"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694" w:type="dxa"/>
            <w:vAlign w:val="center"/>
          </w:tcPr>
          <w:p>
            <w:pPr>
              <w:jc w:val="center"/>
              <w:rPr>
                <w:sz w:val="18"/>
              </w:rPr>
            </w:pPr>
            <w:r>
              <w:rPr>
                <w:rFonts w:hint="eastAsia"/>
                <w:szCs w:val="21"/>
              </w:rPr>
              <w:t xml:space="preserve"> 年   月—   年   月</w:t>
            </w:r>
          </w:p>
        </w:tc>
        <w:tc>
          <w:tcPr>
            <w:tcW w:w="2976" w:type="dxa"/>
          </w:tcPr>
          <w:p>
            <w:pPr>
              <w:rPr>
                <w:sz w:val="18"/>
              </w:rPr>
            </w:pPr>
          </w:p>
        </w:tc>
        <w:tc>
          <w:tcPr>
            <w:tcW w:w="2410" w:type="dxa"/>
          </w:tcPr>
          <w:p>
            <w:pPr>
              <w:rPr>
                <w:sz w:val="18"/>
              </w:rPr>
            </w:pPr>
          </w:p>
        </w:tc>
        <w:tc>
          <w:tcPr>
            <w:tcW w:w="1701" w:type="dxa"/>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Layout w:type="fixed"/>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r>
    </w:tbl>
    <w:p/>
    <w:tbl>
      <w:tblPr>
        <w:tblStyle w:val="6"/>
        <w:tblW w:w="9782" w:type="dxa"/>
        <w:tblInd w:w="108" w:type="dxa"/>
        <w:tblLayout w:type="fixed"/>
        <w:tblCellMar>
          <w:top w:w="0" w:type="dxa"/>
          <w:left w:w="108" w:type="dxa"/>
          <w:bottom w:w="0" w:type="dxa"/>
          <w:right w:w="108" w:type="dxa"/>
        </w:tblCellMar>
      </w:tblPr>
      <w:tblGrid>
        <w:gridCol w:w="1560"/>
        <w:gridCol w:w="141"/>
        <w:gridCol w:w="2694"/>
        <w:gridCol w:w="1559"/>
        <w:gridCol w:w="765"/>
        <w:gridCol w:w="766"/>
        <w:gridCol w:w="879"/>
        <w:gridCol w:w="850"/>
        <w:gridCol w:w="568"/>
      </w:tblGrid>
      <w:tr>
        <w:tblPrEx>
          <w:tblLayout w:type="fixed"/>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517"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8"/>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ascii="仿宋_GB2312" w:eastAsia="仿宋_GB2312"/>
                <w:szCs w:val="21"/>
                <w:u w:val="single"/>
              </w:rPr>
              <w:t>420</w:t>
            </w:r>
            <w:r>
              <w:rPr>
                <w:rFonts w:hint="eastAsia" w:ascii="仿宋_GB2312" w:eastAsia="仿宋_GB2312"/>
                <w:szCs w:val="21"/>
              </w:rPr>
              <w:t>学时，年均</w:t>
            </w:r>
            <w:r>
              <w:rPr>
                <w:rFonts w:ascii="仿宋_GB2312" w:eastAsia="仿宋_GB2312"/>
                <w:szCs w:val="21"/>
                <w:u w:val="single"/>
              </w:rPr>
              <w:t>210</w:t>
            </w:r>
            <w:r>
              <w:rPr>
                <w:rFonts w:hint="eastAsia" w:ascii="仿宋_GB2312" w:eastAsia="仿宋_GB2312"/>
                <w:szCs w:val="21"/>
              </w:rPr>
              <w:t>学时，其中本科生课堂教学工作量共计</w:t>
            </w:r>
            <w:r>
              <w:rPr>
                <w:rFonts w:ascii="仿宋_GB2312" w:eastAsia="仿宋_GB2312"/>
                <w:szCs w:val="21"/>
                <w:u w:val="single"/>
              </w:rPr>
              <w:t>420</w:t>
            </w:r>
            <w:r>
              <w:rPr>
                <w:rFonts w:hint="eastAsia" w:ascii="仿宋_GB2312" w:eastAsia="仿宋_GB2312"/>
                <w:szCs w:val="21"/>
              </w:rPr>
              <w:t>学时，年均</w:t>
            </w:r>
            <w:r>
              <w:rPr>
                <w:rFonts w:ascii="仿宋_GB2312" w:eastAsia="仿宋_GB2312"/>
                <w:szCs w:val="21"/>
                <w:u w:val="single"/>
              </w:rPr>
              <w:t>210</w:t>
            </w:r>
            <w:r>
              <w:rPr>
                <w:rFonts w:hint="eastAsia" w:ascii="仿宋_GB2312" w:eastAsia="仿宋_GB2312"/>
                <w:szCs w:val="21"/>
              </w:rPr>
              <w:t>学时，其中实践类共计</w:t>
            </w:r>
            <w:r>
              <w:rPr>
                <w:rFonts w:ascii="仿宋_GB2312" w:eastAsia="仿宋_GB2312"/>
                <w:szCs w:val="21"/>
                <w:u w:val="single"/>
              </w:rPr>
              <w:t>0</w:t>
            </w:r>
            <w:r>
              <w:rPr>
                <w:rFonts w:hint="eastAsia" w:ascii="仿宋_GB2312" w:eastAsia="仿宋_GB2312"/>
                <w:szCs w:val="21"/>
              </w:rPr>
              <w:t>学时，年均</w:t>
            </w:r>
            <w:r>
              <w:rPr>
                <w:rFonts w:ascii="仿宋_GB2312" w:eastAsia="仿宋_GB2312"/>
                <w:szCs w:val="21"/>
                <w:u w:val="single"/>
              </w:rPr>
              <w:t>0</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100 %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ascii="仿宋_GB2312" w:eastAsia="仿宋_GB2312"/>
                <w:szCs w:val="21"/>
                <w:u w:val="single"/>
              </w:rPr>
              <w:t>A</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担任毕业实习和论文指导工作（   ）届；或担任本科生创新创业活动（   ）项；或担任本科生专业竞赛指导（   ）项；或担任本科生开展寒暑假社会实践（   ）项。</w:t>
            </w:r>
          </w:p>
        </w:tc>
      </w:tr>
      <w:tr>
        <w:tblPrEx>
          <w:tblLayout w:type="fixed"/>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Layout w:type="fixed"/>
          <w:tblCellMar>
            <w:top w:w="0" w:type="dxa"/>
            <w:left w:w="108" w:type="dxa"/>
            <w:bottom w:w="0" w:type="dxa"/>
            <w:right w:w="108" w:type="dxa"/>
          </w:tblCellMar>
        </w:tblPrEx>
        <w:trPr>
          <w:trHeight w:val="563" w:hRule="atLeast"/>
        </w:trPr>
        <w:tc>
          <w:tcPr>
            <w:tcW w:w="1701" w:type="dxa"/>
            <w:gridSpan w:val="2"/>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69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019-2020</w:t>
            </w:r>
            <w:r>
              <w:rPr>
                <w:rFonts w:hint="eastAsia" w:ascii="仿宋_GB2312" w:eastAsia="仿宋_GB2312"/>
                <w:szCs w:val="21"/>
              </w:rPr>
              <w:t>（二）</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多媒体技术与应用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019-2020</w:t>
            </w:r>
            <w:r>
              <w:rPr>
                <w:rFonts w:hint="eastAsia" w:ascii="仿宋_GB2312" w:eastAsia="仿宋_GB2312"/>
                <w:szCs w:val="21"/>
              </w:rPr>
              <w:t>（二）</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国家计算机office高级应用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019-2020</w:t>
            </w:r>
            <w:r>
              <w:rPr>
                <w:rFonts w:hint="eastAsia" w:ascii="仿宋_GB2312" w:eastAsia="仿宋_GB2312"/>
                <w:szCs w:val="21"/>
              </w:rPr>
              <w:t>（二）</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大学生职业发展与就业指导1</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020-2021</w:t>
            </w:r>
            <w:r>
              <w:rPr>
                <w:rFonts w:hint="eastAsia" w:ascii="仿宋_GB2312" w:eastAsia="仿宋_GB2312"/>
                <w:szCs w:val="21"/>
              </w:rPr>
              <w:t>（一）</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大学计算机基础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020-2021</w:t>
            </w:r>
            <w:r>
              <w:rPr>
                <w:rFonts w:hint="eastAsia" w:ascii="仿宋_GB2312" w:eastAsia="仿宋_GB2312"/>
                <w:szCs w:val="21"/>
              </w:rPr>
              <w:t>（一）</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国家计算机office高级应用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020-2021</w:t>
            </w:r>
            <w:r>
              <w:rPr>
                <w:rFonts w:hint="eastAsia" w:ascii="仿宋_GB2312" w:eastAsia="仿宋_GB2312"/>
                <w:szCs w:val="21"/>
              </w:rPr>
              <w:t>（一）</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大学公共安全教育</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020-2021</w:t>
            </w:r>
            <w:r>
              <w:rPr>
                <w:rFonts w:hint="eastAsia" w:ascii="仿宋_GB2312" w:eastAsia="仿宋_GB2312"/>
                <w:szCs w:val="21"/>
              </w:rPr>
              <w:t>（二）</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大学生职业发展与就业指导1</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020-2021</w:t>
            </w:r>
            <w:r>
              <w:rPr>
                <w:rFonts w:hint="eastAsia" w:ascii="仿宋_GB2312" w:eastAsia="仿宋_GB2312"/>
                <w:szCs w:val="21"/>
              </w:rPr>
              <w:t>（二）</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多媒体技术与应用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021-2022</w:t>
            </w:r>
            <w:r>
              <w:rPr>
                <w:rFonts w:hint="eastAsia" w:ascii="仿宋_GB2312" w:eastAsia="仿宋_GB2312"/>
                <w:szCs w:val="21"/>
              </w:rPr>
              <w:t>（一）</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“师”想品德</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021-2022</w:t>
            </w:r>
            <w:r>
              <w:rPr>
                <w:rFonts w:hint="eastAsia" w:ascii="仿宋_GB2312" w:eastAsia="仿宋_GB2312"/>
                <w:szCs w:val="21"/>
              </w:rPr>
              <w:t>（一）</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大学公共安全教育</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021-2022</w:t>
            </w:r>
            <w:r>
              <w:rPr>
                <w:rFonts w:hint="eastAsia" w:ascii="仿宋_GB2312" w:eastAsia="仿宋_GB2312"/>
                <w:szCs w:val="21"/>
              </w:rPr>
              <w:t>（一）</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大学计算机基础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bCs/>
                <w:szCs w:val="21"/>
              </w:rPr>
            </w:pPr>
            <w:r>
              <w:rPr>
                <w:rFonts w:hint="eastAsia" w:ascii="仿宋_GB2312" w:eastAsia="仿宋_GB2312"/>
                <w:szCs w:val="21"/>
              </w:rPr>
              <w:t>2</w:t>
            </w:r>
            <w:r>
              <w:rPr>
                <w:rFonts w:ascii="仿宋_GB2312" w:eastAsia="仿宋_GB2312"/>
                <w:szCs w:val="21"/>
              </w:rPr>
              <w:t>021-2022</w:t>
            </w:r>
            <w:r>
              <w:rPr>
                <w:rFonts w:hint="eastAsia" w:ascii="仿宋_GB2312" w:eastAsia="仿宋_GB2312"/>
                <w:szCs w:val="21"/>
              </w:rPr>
              <w:t>（一）</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国家计算机二级office课件制作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=SUM(ABOVE) </w:instrText>
            </w:r>
            <w:r>
              <w:rPr>
                <w:rFonts w:ascii="仿宋_GB2312" w:eastAsia="仿宋_GB2312"/>
                <w:szCs w:val="21"/>
              </w:rPr>
              <w:fldChar w:fldCharType="separate"/>
            </w:r>
            <w:r>
              <w:rPr>
                <w:rFonts w:ascii="仿宋_GB2312" w:eastAsia="仿宋_GB2312"/>
                <w:szCs w:val="21"/>
              </w:rPr>
              <w:t>420</w:t>
            </w:r>
            <w:r>
              <w:rPr>
                <w:rFonts w:ascii="仿宋_GB2312" w:eastAsia="仿宋_GB2312"/>
                <w:szCs w:val="21"/>
              </w:rPr>
              <w:fldChar w:fldCharType="end"/>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Layout w:type="fixed"/>
          <w:tblCellMar>
            <w:top w:w="0" w:type="dxa"/>
            <w:left w:w="108" w:type="dxa"/>
            <w:bottom w:w="0" w:type="dxa"/>
            <w:right w:w="108" w:type="dxa"/>
          </w:tblCellMar>
        </w:tblPrEx>
        <w:trPr>
          <w:trHeight w:val="563" w:hRule="atLeast"/>
        </w:trPr>
        <w:tc>
          <w:tcPr>
            <w:tcW w:w="1701" w:type="dxa"/>
            <w:gridSpan w:val="2"/>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69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69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835"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83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Layout w:type="fixed"/>
          <w:tblCellMar>
            <w:top w:w="0" w:type="dxa"/>
            <w:left w:w="108" w:type="dxa"/>
            <w:bottom w:w="0" w:type="dxa"/>
            <w:right w:w="108" w:type="dxa"/>
          </w:tblCellMar>
        </w:tblPrEx>
        <w:trPr>
          <w:trHeight w:val="556"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240" w:lineRule="exact"/>
              <w:rPr>
                <w:rFonts w:ascii="仿宋_GB2312" w:eastAsia="仿宋_GB2312"/>
                <w:szCs w:val="21"/>
              </w:rPr>
            </w:pPr>
          </w:p>
        </w:tc>
      </w:tr>
    </w:tbl>
    <w:p>
      <w: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Layout w:type="fixed"/>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Layout w:type="fixed"/>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Layout w:type="fixed"/>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Layout w:type="fixed"/>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078" w:type="dxa"/>
            <w:vAlign w:val="center"/>
          </w:tcPr>
          <w:p>
            <w:pPr>
              <w:jc w:val="center"/>
              <w:rPr>
                <w:rFonts w:cs="宋体" w:asciiTheme="minorEastAsia" w:hAnsiTheme="minorEastAsia"/>
                <w:kern w:val="0"/>
                <w:szCs w:val="21"/>
              </w:rPr>
            </w:pPr>
          </w:p>
        </w:tc>
        <w:tc>
          <w:tcPr>
            <w:tcW w:w="704" w:type="dxa"/>
            <w:vAlign w:val="center"/>
          </w:tcPr>
          <w:p>
            <w:pPr>
              <w:jc w:val="center"/>
              <w:rPr>
                <w:rFonts w:cs="宋体" w:asciiTheme="minorEastAsia" w:hAnsiTheme="minorEastAsia"/>
                <w:kern w:val="0"/>
                <w:szCs w:val="21"/>
              </w:rPr>
            </w:pPr>
          </w:p>
        </w:tc>
        <w:tc>
          <w:tcPr>
            <w:tcW w:w="845" w:type="dxa"/>
            <w:vAlign w:val="center"/>
          </w:tcPr>
          <w:p>
            <w:pPr>
              <w:jc w:val="center"/>
              <w:rPr>
                <w:rFonts w:cs="宋体" w:asciiTheme="minorEastAsia" w:hAnsiTheme="minorEastAsia"/>
                <w:kern w:val="0"/>
                <w:szCs w:val="21"/>
              </w:rPr>
            </w:pPr>
          </w:p>
        </w:tc>
        <w:tc>
          <w:tcPr>
            <w:tcW w:w="1759"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6"/>
        <w:tblW w:w="9654" w:type="dxa"/>
        <w:tblInd w:w="93" w:type="dxa"/>
        <w:tblLayout w:type="fixed"/>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Layout w:type="fixed"/>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Layout w:type="fixed"/>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6"/>
        <w:tblW w:w="9654" w:type="dxa"/>
        <w:tblInd w:w="93" w:type="dxa"/>
        <w:tblLayout w:type="fixed"/>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Layout w:type="fixed"/>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Layout w:type="fixed"/>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tbl>
      <w:tblPr>
        <w:tblStyle w:val="6"/>
        <w:tblW w:w="9654" w:type="dxa"/>
        <w:tblInd w:w="93" w:type="dxa"/>
        <w:tblLayout w:type="fixed"/>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Layout w:type="fixed"/>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p/>
    <w:tbl>
      <w:tblPr>
        <w:tblStyle w:val="6"/>
        <w:tblW w:w="9654" w:type="dxa"/>
        <w:tblInd w:w="93" w:type="dxa"/>
        <w:tblLayout w:type="fixed"/>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Layout w:type="fixed"/>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200</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申报者签名：</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
    <w:p>
      <w:pPr>
        <w:widowControl/>
        <w:jc w:val="left"/>
      </w:pPr>
      <w:r>
        <w:br w:type="page"/>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r>
              <w:rPr>
                <w:rFonts w:hint="eastAsia"/>
              </w:rPr>
              <w:t>1</w:t>
            </w:r>
          </w:p>
        </w:tc>
        <w:tc>
          <w:tcPr>
            <w:tcW w:w="2445" w:type="dxa"/>
            <w:tcBorders>
              <w:right w:val="single" w:color="auto" w:sz="4" w:space="0"/>
            </w:tcBorders>
            <w:vAlign w:val="center"/>
          </w:tcPr>
          <w:p>
            <w:r>
              <w:rPr>
                <w:rFonts w:hint="eastAsia"/>
              </w:rPr>
              <w:t>以数据为中心的水声通信MAC协议研究</w:t>
            </w:r>
          </w:p>
        </w:tc>
        <w:tc>
          <w:tcPr>
            <w:tcW w:w="948" w:type="dxa"/>
            <w:tcBorders>
              <w:left w:val="single" w:color="auto" w:sz="4" w:space="0"/>
              <w:right w:val="single" w:color="auto" w:sz="4" w:space="0"/>
            </w:tcBorders>
            <w:vAlign w:val="center"/>
          </w:tcPr>
          <w:p>
            <w:r>
              <w:rPr>
                <w:rFonts w:ascii="Arial" w:hAnsi="Arial" w:cs="Arial"/>
                <w:color w:val="4F4F4F"/>
              </w:rPr>
              <w:t>617121</w:t>
            </w:r>
          </w:p>
        </w:tc>
        <w:tc>
          <w:tcPr>
            <w:tcW w:w="993" w:type="dxa"/>
            <w:tcBorders>
              <w:left w:val="single" w:color="auto" w:sz="4" w:space="0"/>
            </w:tcBorders>
            <w:vAlign w:val="center"/>
          </w:tcPr>
          <w:p>
            <w:r>
              <w:rPr>
                <w:rFonts w:hint="eastAsia"/>
              </w:rPr>
              <w:t>海南省自然科学基金</w:t>
            </w:r>
          </w:p>
        </w:tc>
        <w:tc>
          <w:tcPr>
            <w:tcW w:w="425" w:type="dxa"/>
            <w:vAlign w:val="center"/>
          </w:tcPr>
          <w:p>
            <w:r>
              <w:rPr>
                <w:rFonts w:hint="eastAsia"/>
              </w:rPr>
              <w:t>省级</w:t>
            </w:r>
          </w:p>
        </w:tc>
        <w:tc>
          <w:tcPr>
            <w:tcW w:w="567" w:type="dxa"/>
            <w:vAlign w:val="center"/>
          </w:tcPr>
          <w:p/>
        </w:tc>
        <w:tc>
          <w:tcPr>
            <w:tcW w:w="850" w:type="dxa"/>
            <w:vAlign w:val="center"/>
          </w:tcPr>
          <w:p>
            <w:r>
              <w:rPr>
                <w:rFonts w:ascii="Arial" w:hAnsi="Arial" w:cs="Arial"/>
                <w:color w:val="4F4F4F"/>
              </w:rPr>
              <w:t>2017-04-01</w:t>
            </w:r>
          </w:p>
        </w:tc>
        <w:tc>
          <w:tcPr>
            <w:tcW w:w="851" w:type="dxa"/>
            <w:vAlign w:val="center"/>
          </w:tcPr>
          <w:p>
            <w:r>
              <w:rPr>
                <w:rFonts w:hint="eastAsia"/>
              </w:rPr>
              <w:t>5</w:t>
            </w:r>
          </w:p>
        </w:tc>
        <w:tc>
          <w:tcPr>
            <w:tcW w:w="709" w:type="dxa"/>
            <w:tcBorders>
              <w:right w:val="single" w:color="auto" w:sz="4" w:space="0"/>
            </w:tcBorders>
            <w:vAlign w:val="center"/>
          </w:tcPr>
          <w:p>
            <w:r>
              <w:rPr>
                <w:rFonts w:hint="eastAsia"/>
              </w:rPr>
              <w:t>否</w:t>
            </w:r>
          </w:p>
        </w:tc>
        <w:tc>
          <w:tcPr>
            <w:tcW w:w="708" w:type="dxa"/>
            <w:tcBorders>
              <w:left w:val="single" w:color="auto" w:sz="4" w:space="0"/>
              <w:right w:val="single" w:color="auto" w:sz="4" w:space="0"/>
            </w:tcBorders>
            <w:vAlign w:val="center"/>
          </w:tcPr>
          <w:p>
            <w:r>
              <w:rPr>
                <w:rFonts w:hint="eastAsia"/>
              </w:rPr>
              <w:t>是</w:t>
            </w:r>
          </w:p>
        </w:tc>
        <w:tc>
          <w:tcPr>
            <w:tcW w:w="709" w:type="dxa"/>
            <w:tcBorders>
              <w:left w:val="single" w:color="auto" w:sz="4" w:space="0"/>
            </w:tcBorders>
            <w:vAlign w:val="center"/>
          </w:tcPr>
          <w:p>
            <w:r>
              <w:rPr>
                <w:rFonts w:hint="eastAsia"/>
              </w:rPr>
              <w:t>0</w:t>
            </w:r>
          </w:p>
        </w:tc>
      </w:tr>
    </w:tbl>
    <w:p>
      <w:r>
        <w:rPr>
          <w:rFonts w:hint="eastAsia"/>
        </w:rPr>
        <w:t>注：人文社科类参考评审文件附件1-4填写，自然科学类参考附件1-5填写，等级按A到E级填写，级别按A1或A2填写。</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pPr>
            <w:r>
              <w:rPr>
                <w:rFonts w:hint="eastAsia"/>
              </w:rPr>
              <w:t>1</w:t>
            </w:r>
          </w:p>
        </w:tc>
        <w:tc>
          <w:tcPr>
            <w:tcW w:w="3171" w:type="dxa"/>
            <w:tcBorders>
              <w:left w:val="single" w:color="auto" w:sz="4" w:space="0"/>
            </w:tcBorders>
            <w:vAlign w:val="center"/>
          </w:tcPr>
          <w:p>
            <w:pPr>
              <w:jc w:val="center"/>
            </w:pPr>
            <w:r>
              <w:rPr>
                <w:rFonts w:hint="eastAsia"/>
              </w:rPr>
              <w:t>基于结构元的模糊数直觉模糊子群</w:t>
            </w:r>
          </w:p>
        </w:tc>
        <w:tc>
          <w:tcPr>
            <w:tcW w:w="1984" w:type="dxa"/>
            <w:tcBorders>
              <w:right w:val="single" w:color="auto" w:sz="4" w:space="0"/>
            </w:tcBorders>
            <w:vAlign w:val="center"/>
          </w:tcPr>
          <w:p>
            <w:pPr>
              <w:widowControl/>
              <w:jc w:val="center"/>
            </w:pPr>
            <w:r>
              <w:rPr>
                <w:rFonts w:ascii="Arial" w:hAnsi="Arial" w:cs="Arial"/>
                <w:color w:val="4F4F4F"/>
              </w:rPr>
              <w:t>运筹管理与模糊数学</w:t>
            </w:r>
            <w:r>
              <w:rPr>
                <w:rFonts w:hint="eastAsia" w:ascii="Arial" w:hAnsi="Arial" w:cs="Arial"/>
                <w:color w:val="4F4F4F"/>
              </w:rPr>
              <w:t xml:space="preserve"> </w:t>
            </w:r>
            <w:r>
              <w:rPr>
                <w:rFonts w:ascii="Arial" w:hAnsi="Arial" w:cs="Arial"/>
                <w:color w:val="4F4F4F"/>
              </w:rPr>
              <w:t>2014年7月第2卷第1期P29-34</w:t>
            </w:r>
          </w:p>
        </w:tc>
        <w:tc>
          <w:tcPr>
            <w:tcW w:w="709" w:type="dxa"/>
            <w:tcBorders>
              <w:left w:val="single" w:color="auto" w:sz="4" w:space="0"/>
            </w:tcBorders>
            <w:vAlign w:val="center"/>
          </w:tcPr>
          <w:p>
            <w:pPr>
              <w:widowControl/>
              <w:jc w:val="center"/>
            </w:pPr>
            <w:r>
              <w:t>100</w:t>
            </w:r>
          </w:p>
        </w:tc>
        <w:tc>
          <w:tcPr>
            <w:tcW w:w="709" w:type="dxa"/>
            <w:vAlign w:val="center"/>
          </w:tcPr>
          <w:p>
            <w:pPr>
              <w:widowControl/>
              <w:jc w:val="center"/>
            </w:pPr>
          </w:p>
        </w:tc>
        <w:tc>
          <w:tcPr>
            <w:tcW w:w="850" w:type="dxa"/>
            <w:vAlign w:val="center"/>
          </w:tcPr>
          <w:p>
            <w:pPr>
              <w:widowControl/>
              <w:jc w:val="center"/>
            </w:pPr>
          </w:p>
        </w:tc>
        <w:tc>
          <w:tcPr>
            <w:tcW w:w="1134" w:type="dxa"/>
            <w:tcBorders>
              <w:right w:val="single" w:color="auto" w:sz="4" w:space="0"/>
            </w:tcBorders>
            <w:vAlign w:val="center"/>
          </w:tcPr>
          <w:p>
            <w:pPr>
              <w:widowControl/>
              <w:jc w:val="center"/>
            </w:pPr>
          </w:p>
        </w:tc>
        <w:tc>
          <w:tcPr>
            <w:tcW w:w="709" w:type="dxa"/>
            <w:tcBorders>
              <w:right w:val="single" w:color="auto" w:sz="4" w:space="0"/>
            </w:tcBorders>
            <w:vAlign w:val="center"/>
          </w:tcPr>
          <w:p>
            <w:pPr>
              <w:widowControl/>
              <w:jc w:val="cente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515" w:type="dxa"/>
            <w:tcBorders>
              <w:right w:val="single" w:color="auto" w:sz="4" w:space="0"/>
            </w:tcBorders>
            <w:vAlign w:val="center"/>
          </w:tcPr>
          <w:p>
            <w:pPr>
              <w:jc w:val="center"/>
            </w:pPr>
            <w:r>
              <w:rPr>
                <w:rFonts w:hint="eastAsia"/>
              </w:rPr>
              <w:t>2</w:t>
            </w:r>
          </w:p>
        </w:tc>
        <w:tc>
          <w:tcPr>
            <w:tcW w:w="3171" w:type="dxa"/>
            <w:tcBorders>
              <w:left w:val="single" w:color="auto" w:sz="4" w:space="0"/>
            </w:tcBorders>
            <w:vAlign w:val="center"/>
          </w:tcPr>
          <w:p>
            <w:pPr>
              <w:widowControl/>
              <w:jc w:val="center"/>
            </w:pPr>
            <w:r>
              <w:rPr>
                <w:rFonts w:hint="eastAsia"/>
              </w:rPr>
              <w:t>模糊矩阵模糊测度与积分</w:t>
            </w:r>
          </w:p>
        </w:tc>
        <w:tc>
          <w:tcPr>
            <w:tcW w:w="1984" w:type="dxa"/>
            <w:tcBorders>
              <w:right w:val="single" w:color="auto" w:sz="4" w:space="0"/>
            </w:tcBorders>
            <w:vAlign w:val="center"/>
          </w:tcPr>
          <w:p>
            <w:pPr>
              <w:widowControl/>
              <w:jc w:val="center"/>
            </w:pPr>
            <w:r>
              <w:rPr>
                <w:rFonts w:ascii="Arial" w:hAnsi="Arial" w:cs="Arial"/>
                <w:color w:val="4F4F4F"/>
              </w:rPr>
              <w:t>海南师范大学学报（自然科学版）</w:t>
            </w:r>
            <w:r>
              <w:rPr>
                <w:rFonts w:hint="eastAsia" w:ascii="Arial" w:hAnsi="Arial" w:cs="Arial"/>
                <w:color w:val="4F4F4F"/>
              </w:rPr>
              <w:t xml:space="preserve"> </w:t>
            </w:r>
            <w:r>
              <w:rPr>
                <w:rFonts w:ascii="Arial" w:hAnsi="Arial" w:cs="Arial"/>
                <w:color w:val="4F4F4F"/>
              </w:rPr>
              <w:t>2014年3月第27卷第3期P246-248</w:t>
            </w:r>
          </w:p>
        </w:tc>
        <w:tc>
          <w:tcPr>
            <w:tcW w:w="709" w:type="dxa"/>
            <w:tcBorders>
              <w:left w:val="single" w:color="auto" w:sz="4" w:space="0"/>
            </w:tcBorders>
            <w:vAlign w:val="center"/>
          </w:tcPr>
          <w:p>
            <w:pPr>
              <w:widowControl/>
              <w:jc w:val="center"/>
            </w:pPr>
            <w:r>
              <w:rPr>
                <w:rFonts w:hint="eastAsia"/>
              </w:rPr>
              <w:t>1</w:t>
            </w:r>
            <w:r>
              <w:t>00</w:t>
            </w:r>
          </w:p>
        </w:tc>
        <w:tc>
          <w:tcPr>
            <w:tcW w:w="709" w:type="dxa"/>
            <w:vAlign w:val="center"/>
          </w:tcPr>
          <w:p>
            <w:pPr>
              <w:widowControl/>
              <w:jc w:val="center"/>
            </w:pPr>
          </w:p>
        </w:tc>
        <w:tc>
          <w:tcPr>
            <w:tcW w:w="850" w:type="dxa"/>
            <w:vAlign w:val="center"/>
          </w:tcPr>
          <w:p>
            <w:pPr>
              <w:widowControl/>
              <w:jc w:val="center"/>
            </w:pPr>
          </w:p>
        </w:tc>
        <w:tc>
          <w:tcPr>
            <w:tcW w:w="1134" w:type="dxa"/>
            <w:tcBorders>
              <w:right w:val="single" w:color="auto" w:sz="4" w:space="0"/>
            </w:tcBorders>
            <w:vAlign w:val="center"/>
          </w:tcPr>
          <w:p>
            <w:pPr>
              <w:widowControl/>
              <w:jc w:val="center"/>
            </w:pPr>
            <w:r>
              <w:rPr>
                <w:rFonts w:hint="eastAsia"/>
              </w:rPr>
              <w:t>有</w:t>
            </w:r>
          </w:p>
        </w:tc>
        <w:tc>
          <w:tcPr>
            <w:tcW w:w="709" w:type="dxa"/>
            <w:tcBorders>
              <w:right w:val="single" w:color="auto" w:sz="4" w:space="0"/>
            </w:tcBorders>
            <w:vAlign w:val="center"/>
          </w:tcPr>
          <w:p>
            <w:pPr>
              <w:widowControl/>
              <w:jc w:val="cente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pPr>
            <w:r>
              <w:rPr>
                <w:rFonts w:hint="eastAsia"/>
              </w:rPr>
              <w:t>3</w:t>
            </w:r>
          </w:p>
        </w:tc>
        <w:tc>
          <w:tcPr>
            <w:tcW w:w="3171" w:type="dxa"/>
            <w:tcBorders>
              <w:left w:val="single" w:color="auto" w:sz="4" w:space="0"/>
            </w:tcBorders>
            <w:vAlign w:val="center"/>
          </w:tcPr>
          <w:p>
            <w:pPr>
              <w:jc w:val="center"/>
            </w:pPr>
            <w:r>
              <w:rPr>
                <w:rFonts w:hint="eastAsia"/>
              </w:rPr>
              <w:t>闭复区间矩阵及其应用初步</w:t>
            </w:r>
          </w:p>
        </w:tc>
        <w:tc>
          <w:tcPr>
            <w:tcW w:w="1984" w:type="dxa"/>
            <w:tcBorders>
              <w:right w:val="single" w:color="auto" w:sz="4" w:space="0"/>
            </w:tcBorders>
            <w:vAlign w:val="center"/>
          </w:tcPr>
          <w:p>
            <w:pPr>
              <w:widowControl/>
              <w:jc w:val="center"/>
            </w:pPr>
            <w:r>
              <w:rPr>
                <w:rFonts w:ascii="Arial" w:hAnsi="Arial" w:cs="Arial"/>
                <w:color w:val="4F4F4F"/>
              </w:rPr>
              <w:t>电脑知识与技术2014年2月第10卷第6期P1309-1313</w:t>
            </w:r>
          </w:p>
        </w:tc>
        <w:tc>
          <w:tcPr>
            <w:tcW w:w="709" w:type="dxa"/>
            <w:tcBorders>
              <w:left w:val="single" w:color="auto" w:sz="4" w:space="0"/>
            </w:tcBorders>
            <w:vAlign w:val="center"/>
          </w:tcPr>
          <w:p>
            <w:pPr>
              <w:widowControl/>
              <w:jc w:val="center"/>
            </w:pPr>
            <w:r>
              <w:rPr>
                <w:rFonts w:hint="eastAsia"/>
              </w:rPr>
              <w:t>1</w:t>
            </w:r>
            <w:r>
              <w:t>00</w:t>
            </w:r>
          </w:p>
        </w:tc>
        <w:tc>
          <w:tcPr>
            <w:tcW w:w="709" w:type="dxa"/>
            <w:vAlign w:val="center"/>
          </w:tcPr>
          <w:p>
            <w:pPr>
              <w:widowControl/>
              <w:jc w:val="center"/>
            </w:pPr>
          </w:p>
        </w:tc>
        <w:tc>
          <w:tcPr>
            <w:tcW w:w="850" w:type="dxa"/>
            <w:vAlign w:val="center"/>
          </w:tcPr>
          <w:p>
            <w:pPr>
              <w:widowControl/>
              <w:jc w:val="center"/>
            </w:pPr>
          </w:p>
        </w:tc>
        <w:tc>
          <w:tcPr>
            <w:tcW w:w="1134" w:type="dxa"/>
            <w:tcBorders>
              <w:right w:val="single" w:color="auto" w:sz="4" w:space="0"/>
            </w:tcBorders>
            <w:vAlign w:val="center"/>
          </w:tcPr>
          <w:p>
            <w:pPr>
              <w:widowControl/>
              <w:jc w:val="center"/>
            </w:pPr>
            <w:r>
              <w:rPr>
                <w:rFonts w:hint="eastAsia"/>
              </w:rPr>
              <w:t>有</w:t>
            </w:r>
          </w:p>
        </w:tc>
        <w:tc>
          <w:tcPr>
            <w:tcW w:w="709" w:type="dxa"/>
            <w:tcBorders>
              <w:right w:val="single" w:color="auto" w:sz="4" w:space="0"/>
            </w:tcBorders>
            <w:vAlign w:val="center"/>
          </w:tcPr>
          <w:p>
            <w:pPr>
              <w:widowControl/>
              <w:jc w:val="cente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u w:val="single"/>
              </w:rPr>
            </w:pPr>
          </w:p>
        </w:tc>
        <w:tc>
          <w:tcPr>
            <w:tcW w:w="3171" w:type="dxa"/>
            <w:tcBorders>
              <w:left w:val="single" w:color="auto" w:sz="4" w:space="0"/>
            </w:tcBorders>
            <w:vAlign w:val="center"/>
          </w:tcPr>
          <w:p>
            <w:pPr>
              <w:jc w:val="center"/>
            </w:pPr>
            <w:r>
              <w:rPr>
                <w:rFonts w:hint="eastAsia"/>
              </w:rPr>
              <w:t>模糊复choquet积分的测度的确定问题</w:t>
            </w:r>
          </w:p>
        </w:tc>
        <w:tc>
          <w:tcPr>
            <w:tcW w:w="1984" w:type="dxa"/>
            <w:tcBorders>
              <w:right w:val="single" w:color="auto" w:sz="4" w:space="0"/>
            </w:tcBorders>
            <w:vAlign w:val="center"/>
          </w:tcPr>
          <w:p>
            <w:pPr>
              <w:widowControl/>
              <w:jc w:val="center"/>
              <w:rPr>
                <w:rFonts w:ascii="Arial" w:hAnsi="Arial" w:cs="Arial"/>
                <w:color w:val="4F4F4F"/>
              </w:rPr>
            </w:pPr>
            <w:r>
              <w:rPr>
                <w:rFonts w:hint="eastAsia" w:ascii="Arial" w:hAnsi="Arial" w:cs="Arial"/>
                <w:color w:val="4F4F4F"/>
              </w:rPr>
              <w:t>江南大学学报（自然科学版）2013年8月第4期第12卷P493-496</w:t>
            </w:r>
          </w:p>
        </w:tc>
        <w:tc>
          <w:tcPr>
            <w:tcW w:w="709" w:type="dxa"/>
            <w:tcBorders>
              <w:left w:val="single" w:color="auto" w:sz="4" w:space="0"/>
            </w:tcBorders>
            <w:vAlign w:val="center"/>
          </w:tcPr>
          <w:p>
            <w:pPr>
              <w:widowControl/>
              <w:jc w:val="center"/>
            </w:pPr>
            <w:r>
              <w:t>100</w:t>
            </w:r>
          </w:p>
        </w:tc>
        <w:tc>
          <w:tcPr>
            <w:tcW w:w="709" w:type="dxa"/>
            <w:vAlign w:val="center"/>
          </w:tcPr>
          <w:p>
            <w:pPr>
              <w:widowControl/>
              <w:jc w:val="center"/>
            </w:pPr>
          </w:p>
        </w:tc>
        <w:tc>
          <w:tcPr>
            <w:tcW w:w="850" w:type="dxa"/>
            <w:vAlign w:val="center"/>
          </w:tcPr>
          <w:p>
            <w:pPr>
              <w:widowControl/>
              <w:jc w:val="center"/>
            </w:pPr>
          </w:p>
        </w:tc>
        <w:tc>
          <w:tcPr>
            <w:tcW w:w="1134" w:type="dxa"/>
            <w:tcBorders>
              <w:right w:val="single" w:color="auto" w:sz="4" w:space="0"/>
            </w:tcBorders>
            <w:vAlign w:val="center"/>
          </w:tcPr>
          <w:p>
            <w:pPr>
              <w:widowControl/>
              <w:jc w:val="center"/>
            </w:pPr>
            <w:r>
              <w:rPr>
                <w:rFonts w:hint="eastAsia"/>
              </w:rPr>
              <w:t>有</w:t>
            </w:r>
          </w:p>
        </w:tc>
        <w:tc>
          <w:tcPr>
            <w:tcW w:w="709" w:type="dxa"/>
            <w:tcBorders>
              <w:right w:val="single" w:color="auto" w:sz="4" w:space="0"/>
            </w:tcBorders>
            <w:vAlign w:val="center"/>
          </w:tcPr>
          <w:p>
            <w:pPr>
              <w:widowControl/>
              <w:jc w:val="center"/>
            </w:pPr>
            <w:r>
              <w:rPr>
                <w:rFonts w:hint="eastAsia"/>
              </w:rPr>
              <w:t>0</w:t>
            </w:r>
          </w:p>
        </w:tc>
      </w:tr>
    </w:tbl>
    <w:p>
      <w:r>
        <w:rPr>
          <w:rFonts w:hint="eastAsia"/>
        </w:rPr>
        <w:t>注：人文社科类参考评审文件附件1-4填写，自然科学类参考附件1-5填写，刊物级别按A到F级填写。</w:t>
      </w:r>
    </w:p>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注：人文社科类参考评审文件附件1-4填写，自然科学类参考附件1-5填写，级别按A-C填写。</w:t>
      </w:r>
    </w:p>
    <w:p>
      <w:pPr>
        <w:widowControl/>
        <w:jc w:val="left"/>
      </w:pPr>
      <w:r>
        <w:br w:type="page"/>
      </w:r>
    </w:p>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r>
              <w:rPr>
                <w:rFonts w:hint="eastAsia"/>
              </w:rPr>
              <w:t>1</w:t>
            </w:r>
          </w:p>
        </w:tc>
        <w:tc>
          <w:tcPr>
            <w:tcW w:w="2236" w:type="dxa"/>
            <w:tcBorders>
              <w:left w:val="single" w:color="auto" w:sz="4" w:space="0"/>
              <w:right w:val="single" w:color="auto" w:sz="4" w:space="0"/>
            </w:tcBorders>
            <w:vAlign w:val="center"/>
          </w:tcPr>
          <w:p>
            <w:pPr>
              <w:jc w:val="center"/>
            </w:pPr>
            <w:r>
              <w:rPr>
                <w:rFonts w:hint="eastAsia"/>
              </w:rPr>
              <w:t>模糊复值测度理论研究</w:t>
            </w:r>
          </w:p>
        </w:tc>
        <w:tc>
          <w:tcPr>
            <w:tcW w:w="1200" w:type="dxa"/>
            <w:tcBorders>
              <w:left w:val="single" w:color="auto" w:sz="4" w:space="0"/>
            </w:tcBorders>
            <w:vAlign w:val="center"/>
          </w:tcPr>
          <w:p>
            <w:pPr>
              <w:jc w:val="center"/>
            </w:pPr>
            <w:r>
              <w:rPr>
                <w:rFonts w:hint="eastAsia"/>
              </w:rPr>
              <w:t>C</w:t>
            </w:r>
          </w:p>
        </w:tc>
        <w:tc>
          <w:tcPr>
            <w:tcW w:w="1526" w:type="dxa"/>
            <w:tcBorders>
              <w:right w:val="single" w:color="auto" w:sz="4" w:space="0"/>
            </w:tcBorders>
            <w:vAlign w:val="center"/>
          </w:tcPr>
          <w:p>
            <w:pPr>
              <w:jc w:val="center"/>
            </w:pPr>
            <w:r>
              <w:rPr>
                <w:rFonts w:hint="eastAsia" w:ascii="宋体" w:hAnsi="宋体" w:cs="宋体"/>
                <w:color w:val="000000"/>
                <w:kern w:val="0"/>
                <w:sz w:val="24"/>
                <w:szCs w:val="24"/>
                <w:lang w:bidi="ar"/>
              </w:rPr>
              <w:t>省科学技术奖</w:t>
            </w:r>
          </w:p>
        </w:tc>
        <w:tc>
          <w:tcPr>
            <w:tcW w:w="850" w:type="dxa"/>
            <w:tcBorders>
              <w:left w:val="single" w:color="auto" w:sz="4" w:space="0"/>
            </w:tcBorders>
            <w:vAlign w:val="center"/>
          </w:tcPr>
          <w:p>
            <w:pPr>
              <w:jc w:val="center"/>
            </w:pPr>
            <w:r>
              <w:rPr>
                <w:rFonts w:hint="eastAsia"/>
              </w:rPr>
              <w:t>三等奖</w:t>
            </w:r>
          </w:p>
        </w:tc>
        <w:tc>
          <w:tcPr>
            <w:tcW w:w="851" w:type="dxa"/>
            <w:vAlign w:val="center"/>
          </w:tcPr>
          <w:p>
            <w:pPr>
              <w:jc w:val="center"/>
            </w:pPr>
            <w:r>
              <w:rPr>
                <w:rFonts w:hint="eastAsia"/>
              </w:rPr>
              <w:t>2</w:t>
            </w:r>
            <w:r>
              <w:t>014</w:t>
            </w:r>
            <w:r>
              <w:rPr>
                <w:rFonts w:hint="eastAsia"/>
              </w:rPr>
              <w:t>年1</w:t>
            </w:r>
            <w:r>
              <w:t>2</w:t>
            </w:r>
            <w:r>
              <w:rPr>
                <w:rFonts w:hint="eastAsia"/>
              </w:rPr>
              <w:t>月</w:t>
            </w:r>
          </w:p>
        </w:tc>
        <w:tc>
          <w:tcPr>
            <w:tcW w:w="992" w:type="dxa"/>
            <w:vAlign w:val="center"/>
          </w:tcPr>
          <w:p>
            <w:pPr>
              <w:jc w:val="center"/>
            </w:pPr>
            <w:r>
              <w:rPr>
                <w:rFonts w:hint="eastAsia"/>
              </w:rPr>
              <w:t>4</w:t>
            </w: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r>
              <w:rPr>
                <w:rFonts w:hint="eastAsia"/>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7"/>
        <w:tblpPr w:leftFromText="180" w:rightFromText="180" w:vertAnchor="text" w:horzAnchor="page" w:tblpX="1240" w:tblpY="185"/>
        <w:tblOverlap w:val="never"/>
        <w:tblW w:w="97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ascii="黑体" w:hAnsi="黑体" w:eastAsia="黑体"/>
          <w:sz w:val="32"/>
          <w:szCs w:val="32"/>
        </w:rPr>
      </w:pPr>
      <w:r>
        <w:rPr>
          <w:rFonts w:hint="eastAsia" w:ascii="黑体" w:hAnsi="黑体" w:eastAsia="黑体"/>
          <w:sz w:val="32"/>
          <w:szCs w:val="32"/>
        </w:rPr>
        <w:t>双师型教师实践应用能力评价计分汇总表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asciiTheme="minorEastAsia" w:hAnsiTheme="minorEastAsia"/>
                <w:szCs w:val="21"/>
              </w:rPr>
            </w:pP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 w:hRule="atLeast"/>
        </w:trPr>
        <w:tc>
          <w:tcPr>
            <w:tcW w:w="534" w:type="dxa"/>
          </w:tcPr>
          <w:p>
            <w:pPr>
              <w:widowControl/>
              <w:jc w:val="left"/>
              <w:rPr>
                <w:rFonts w:asciiTheme="minorEastAsia" w:hAnsiTheme="minorEastAsia"/>
                <w:szCs w:val="21"/>
              </w:rPr>
            </w:pPr>
          </w:p>
        </w:tc>
        <w:tc>
          <w:tcPr>
            <w:tcW w:w="1559" w:type="dxa"/>
          </w:tcPr>
          <w:p>
            <w:pPr>
              <w:widowControl/>
              <w:jc w:val="left"/>
              <w:rPr>
                <w:rFonts w:asciiTheme="minorEastAsia" w:hAnsiTheme="minorEastAsia"/>
                <w:szCs w:val="21"/>
              </w:rPr>
            </w:pPr>
          </w:p>
        </w:tc>
        <w:tc>
          <w:tcPr>
            <w:tcW w:w="160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10" w:hRule="atLeast"/>
        </w:trPr>
        <w:tc>
          <w:tcPr>
            <w:tcW w:w="9854"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012</w:t>
            </w:r>
            <w:r>
              <w:rPr>
                <w:rFonts w:hint="eastAsia" w:ascii="仿宋" w:hAnsi="仿宋" w:eastAsia="仿宋"/>
                <w:sz w:val="24"/>
                <w:szCs w:val="24"/>
              </w:rPr>
              <w:t>年到2</w:t>
            </w:r>
            <w:r>
              <w:rPr>
                <w:rFonts w:ascii="仿宋" w:hAnsi="仿宋" w:eastAsia="仿宋"/>
                <w:sz w:val="24"/>
                <w:szCs w:val="24"/>
              </w:rPr>
              <w:t>018</w:t>
            </w:r>
            <w:r>
              <w:rPr>
                <w:rFonts w:hint="eastAsia" w:ascii="仿宋" w:hAnsi="仿宋" w:eastAsia="仿宋"/>
                <w:sz w:val="24"/>
                <w:szCs w:val="24"/>
              </w:rPr>
              <w:t>年9月，我担任信息科学技术学院辅导员，分管奖助贷工作。主管物联网系，负责学工办的全面工作指导安排，在学院领导的正确领导下，学工办成员与全院教职工的帮助与支持下，我以科学发展观为指导，坚持学习、勤奋工作、尽职尽责，圆满完成各项工作任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018</w:t>
            </w:r>
            <w:r>
              <w:rPr>
                <w:rFonts w:hint="eastAsia" w:ascii="仿宋" w:hAnsi="仿宋" w:eastAsia="仿宋"/>
                <w:sz w:val="24"/>
                <w:szCs w:val="24"/>
              </w:rPr>
              <w:t>年1</w:t>
            </w:r>
            <w:r>
              <w:rPr>
                <w:rFonts w:ascii="仿宋" w:hAnsi="仿宋" w:eastAsia="仿宋"/>
                <w:sz w:val="24"/>
                <w:szCs w:val="24"/>
              </w:rPr>
              <w:t>0</w:t>
            </w:r>
            <w:r>
              <w:rPr>
                <w:rFonts w:hint="eastAsia" w:ascii="仿宋" w:hAnsi="仿宋" w:eastAsia="仿宋"/>
                <w:sz w:val="24"/>
                <w:szCs w:val="24"/>
              </w:rPr>
              <w:t>月，我转岗到教务处工作，由一名辅导员成为一名教务工作人员，教务的工作相比辅导员而言，与我的专业关系度更大了，我分管几个数据库，创新创业等工作，在新的岗位上，我继续保持辅导员的干劲和认真，教务工作的工作特性就是细致，专业，熟练，在新的岗位上，我刻苦专研，认真学习，发挥专业优势，脚踏实地，很快完成角色转换，进入工作角色，力争为学校的发展贡献自己的力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2019年通过由国家人力资源和社会保障部及工信部组织的网络工程师考试，获得网络工程师职称证书。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1</w:t>
            </w:r>
            <w:r>
              <w:rPr>
                <w:rFonts w:hint="eastAsia" w:ascii="仿宋" w:hAnsi="仿宋" w:eastAsia="仿宋"/>
                <w:sz w:val="24"/>
                <w:szCs w:val="24"/>
              </w:rPr>
              <w:t>年，我将继续在我的教务岗位上，为全校的人才培养方案修订工作，师范类专业认证工作，毕业生审核工作，教务系统维护工作，做出我的技能和才干，保证全校整个教学工作计划的顺利实施，让学生学有收获，学有所成，学有所乐，以问题为导向，社会需求为产出，学生和家长的需要为己任，国家的建设为动力，做有理想信念，有道德情操，有扎实学识，有仁爱之心的教务工作人员，教书育人的好老师，合格的共产党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感谢党，感谢政府，感谢单位，感谢组织，感谢一起奋战的同志、同事们，在过去的几年里，能给予我机会和空间，在平凡的岗位上，为祖国的现代化建设奉献着我自己的青春活力，未来，我将更加努力，更加勤奋，以饱满的热情和活力，继续在我的岗位上，为学校的发展，拼搏我的智慧和力量。</w:t>
            </w:r>
          </w:p>
          <w:p>
            <w:pPr>
              <w:rPr>
                <w:sz w:val="24"/>
                <w:szCs w:val="24"/>
              </w:rPr>
            </w:pPr>
          </w:p>
          <w:p>
            <w:pPr>
              <w:rPr>
                <w:sz w:val="24"/>
                <w:szCs w:val="24"/>
              </w:rPr>
            </w:pPr>
            <w:r>
              <w:rPr>
                <w:rFonts w:hint="eastAsia"/>
                <w:sz w:val="24"/>
                <w:szCs w:val="24"/>
              </w:rPr>
              <w:t>本人承诺：</w:t>
            </w:r>
          </w:p>
          <w:p>
            <w:pPr>
              <w:rPr>
                <w:sz w:val="24"/>
                <w:szCs w:val="24"/>
              </w:rPr>
            </w:pPr>
          </w:p>
          <w:p>
            <w:pPr>
              <w:rPr>
                <w:sz w:val="24"/>
                <w:szCs w:val="24"/>
              </w:rPr>
            </w:pPr>
          </w:p>
          <w:p>
            <w:pPr>
              <w:rPr>
                <w:sz w:val="24"/>
                <w:szCs w:val="24"/>
              </w:rPr>
            </w:pPr>
          </w:p>
          <w:p>
            <w:pPr>
              <w:ind w:left="4410" w:leftChars="2100"/>
              <w:rPr>
                <w:sz w:val="24"/>
                <w:szCs w:val="24"/>
              </w:rPr>
            </w:pPr>
            <w:r>
              <w:rPr>
                <w:rFonts w:hint="eastAsia"/>
                <w:sz w:val="24"/>
                <w:szCs w:val="24"/>
              </w:rPr>
              <w:t xml:space="preserve">签名：                   </w:t>
            </w:r>
          </w:p>
          <w:p>
            <w:pPr>
              <w:ind w:left="4410" w:leftChars="2100"/>
              <w:rPr>
                <w:sz w:val="24"/>
                <w:szCs w:val="24"/>
              </w:rPr>
            </w:pPr>
            <w:r>
              <w:rPr>
                <w:rFonts w:hint="eastAsia"/>
                <w:sz w:val="24"/>
                <w:szCs w:val="24"/>
              </w:rPr>
              <w:t>年   月   日</w:t>
            </w:r>
          </w:p>
        </w:tc>
      </w:tr>
    </w:tbl>
    <w:p/>
    <w:p>
      <w:pPr>
        <w:jc w:val="center"/>
        <w:rPr>
          <w:rFonts w:ascii="黑体" w:hAnsi="黑体" w:eastAsia="黑体"/>
          <w:sz w:val="32"/>
          <w:szCs w:val="32"/>
        </w:rPr>
      </w:pPr>
      <w:r>
        <w:rPr>
          <w:rFonts w:hint="eastAsia" w:ascii="黑体" w:hAnsi="黑体" w:eastAsia="黑体"/>
          <w:sz w:val="32"/>
          <w:szCs w:val="32"/>
        </w:rPr>
        <w:t>教师系列教学、科研业绩水平鉴定意见表</w:t>
      </w:r>
    </w:p>
    <w:tbl>
      <w:tblPr>
        <w:tblStyle w:val="7"/>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赵志青</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信息科学技术学院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计算机科学与技术</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6"/>
            <w:vAlign w:val="center"/>
          </w:tcPr>
          <w:p>
            <w:pPr>
              <w:spacing w:line="360" w:lineRule="exact"/>
              <w:jc w:val="center"/>
              <w:rPr>
                <w:rFonts w:ascii="仿宋_GB2312" w:eastAsia="仿宋_GB2312"/>
                <w:sz w:val="30"/>
                <w:szCs w:val="30"/>
              </w:rPr>
            </w:pPr>
          </w:p>
          <w:p>
            <w:pPr>
              <w:spacing w:line="360" w:lineRule="exact"/>
              <w:rPr>
                <w:rFonts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ind w:firstLine="3600" w:firstLineChars="1200"/>
              <w:rPr>
                <w:rFonts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p>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3CC1"/>
    <w:rsid w:val="000077C7"/>
    <w:rsid w:val="000204C4"/>
    <w:rsid w:val="0002075C"/>
    <w:rsid w:val="00024587"/>
    <w:rsid w:val="00031C5C"/>
    <w:rsid w:val="00035ADA"/>
    <w:rsid w:val="00050B41"/>
    <w:rsid w:val="00052874"/>
    <w:rsid w:val="000734BB"/>
    <w:rsid w:val="000835E5"/>
    <w:rsid w:val="00086C19"/>
    <w:rsid w:val="00091D39"/>
    <w:rsid w:val="00093E8E"/>
    <w:rsid w:val="000A1C4F"/>
    <w:rsid w:val="000A53B5"/>
    <w:rsid w:val="000A6447"/>
    <w:rsid w:val="000A6FB3"/>
    <w:rsid w:val="000B25F1"/>
    <w:rsid w:val="000B5BC8"/>
    <w:rsid w:val="000B7E3F"/>
    <w:rsid w:val="000C4D72"/>
    <w:rsid w:val="000C7246"/>
    <w:rsid w:val="000D618F"/>
    <w:rsid w:val="000D71E5"/>
    <w:rsid w:val="000E1EA4"/>
    <w:rsid w:val="000E1FCC"/>
    <w:rsid w:val="000E777B"/>
    <w:rsid w:val="000F2B39"/>
    <w:rsid w:val="00100416"/>
    <w:rsid w:val="00101B0E"/>
    <w:rsid w:val="00102860"/>
    <w:rsid w:val="001034FB"/>
    <w:rsid w:val="00106765"/>
    <w:rsid w:val="00110033"/>
    <w:rsid w:val="001125C0"/>
    <w:rsid w:val="001152EC"/>
    <w:rsid w:val="00123022"/>
    <w:rsid w:val="0012343B"/>
    <w:rsid w:val="0012740F"/>
    <w:rsid w:val="0012753C"/>
    <w:rsid w:val="00136E7A"/>
    <w:rsid w:val="0015030F"/>
    <w:rsid w:val="00160D6D"/>
    <w:rsid w:val="00163F01"/>
    <w:rsid w:val="001650A1"/>
    <w:rsid w:val="00171343"/>
    <w:rsid w:val="00177EFC"/>
    <w:rsid w:val="00187EAB"/>
    <w:rsid w:val="00192A61"/>
    <w:rsid w:val="001937B2"/>
    <w:rsid w:val="001937B4"/>
    <w:rsid w:val="001B0A30"/>
    <w:rsid w:val="001B2C61"/>
    <w:rsid w:val="001C4443"/>
    <w:rsid w:val="001D2597"/>
    <w:rsid w:val="001E1E38"/>
    <w:rsid w:val="002017C6"/>
    <w:rsid w:val="00211798"/>
    <w:rsid w:val="00226AC5"/>
    <w:rsid w:val="002270A7"/>
    <w:rsid w:val="002326D9"/>
    <w:rsid w:val="00243159"/>
    <w:rsid w:val="00247B30"/>
    <w:rsid w:val="00257618"/>
    <w:rsid w:val="0026346C"/>
    <w:rsid w:val="00271356"/>
    <w:rsid w:val="002859E6"/>
    <w:rsid w:val="00295BBE"/>
    <w:rsid w:val="002B5D77"/>
    <w:rsid w:val="002C2E4D"/>
    <w:rsid w:val="002C3063"/>
    <w:rsid w:val="002E42F6"/>
    <w:rsid w:val="002F1EC4"/>
    <w:rsid w:val="00314EE7"/>
    <w:rsid w:val="00315AAE"/>
    <w:rsid w:val="0033126B"/>
    <w:rsid w:val="00333B61"/>
    <w:rsid w:val="0033420A"/>
    <w:rsid w:val="00342D04"/>
    <w:rsid w:val="00345CE6"/>
    <w:rsid w:val="00352DB8"/>
    <w:rsid w:val="00353FFB"/>
    <w:rsid w:val="0035796B"/>
    <w:rsid w:val="00361F97"/>
    <w:rsid w:val="0036206F"/>
    <w:rsid w:val="00364415"/>
    <w:rsid w:val="00365F70"/>
    <w:rsid w:val="0038153E"/>
    <w:rsid w:val="00384C68"/>
    <w:rsid w:val="0039460C"/>
    <w:rsid w:val="003A260D"/>
    <w:rsid w:val="003B5BA5"/>
    <w:rsid w:val="003B7454"/>
    <w:rsid w:val="003C6F7B"/>
    <w:rsid w:val="003D6C2A"/>
    <w:rsid w:val="003E3539"/>
    <w:rsid w:val="003E4AD1"/>
    <w:rsid w:val="003F5C01"/>
    <w:rsid w:val="003F6AC8"/>
    <w:rsid w:val="00403377"/>
    <w:rsid w:val="00410217"/>
    <w:rsid w:val="00413D18"/>
    <w:rsid w:val="00417FC6"/>
    <w:rsid w:val="00421B6F"/>
    <w:rsid w:val="00424D1B"/>
    <w:rsid w:val="00433D52"/>
    <w:rsid w:val="00450E27"/>
    <w:rsid w:val="004542AC"/>
    <w:rsid w:val="00455996"/>
    <w:rsid w:val="004632E2"/>
    <w:rsid w:val="00477CC6"/>
    <w:rsid w:val="00481C0E"/>
    <w:rsid w:val="004849BB"/>
    <w:rsid w:val="00487DF7"/>
    <w:rsid w:val="00492E46"/>
    <w:rsid w:val="004932B2"/>
    <w:rsid w:val="00495AB1"/>
    <w:rsid w:val="004A1689"/>
    <w:rsid w:val="004A2B71"/>
    <w:rsid w:val="004A7AE8"/>
    <w:rsid w:val="004B1AFD"/>
    <w:rsid w:val="004B1CCE"/>
    <w:rsid w:val="004B5380"/>
    <w:rsid w:val="004C36A3"/>
    <w:rsid w:val="004D5EAE"/>
    <w:rsid w:val="004E6217"/>
    <w:rsid w:val="004E65CB"/>
    <w:rsid w:val="004F21A1"/>
    <w:rsid w:val="004F23EC"/>
    <w:rsid w:val="00501DE0"/>
    <w:rsid w:val="00507D8E"/>
    <w:rsid w:val="00523155"/>
    <w:rsid w:val="00543465"/>
    <w:rsid w:val="00547E65"/>
    <w:rsid w:val="005617BD"/>
    <w:rsid w:val="00565F0F"/>
    <w:rsid w:val="00567EF8"/>
    <w:rsid w:val="00571475"/>
    <w:rsid w:val="0057729A"/>
    <w:rsid w:val="00583659"/>
    <w:rsid w:val="00583E93"/>
    <w:rsid w:val="005B6A8B"/>
    <w:rsid w:val="005B6D8C"/>
    <w:rsid w:val="005C7077"/>
    <w:rsid w:val="005E06B1"/>
    <w:rsid w:val="005E3440"/>
    <w:rsid w:val="005E58F4"/>
    <w:rsid w:val="005F645A"/>
    <w:rsid w:val="005F6C00"/>
    <w:rsid w:val="00607D1E"/>
    <w:rsid w:val="006164B9"/>
    <w:rsid w:val="00620B61"/>
    <w:rsid w:val="00622561"/>
    <w:rsid w:val="0062256C"/>
    <w:rsid w:val="00623BB8"/>
    <w:rsid w:val="00636E14"/>
    <w:rsid w:val="006424CF"/>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77776"/>
    <w:rsid w:val="007965C2"/>
    <w:rsid w:val="007A6787"/>
    <w:rsid w:val="007A6B08"/>
    <w:rsid w:val="007A6DCF"/>
    <w:rsid w:val="007C10B6"/>
    <w:rsid w:val="007C4C8E"/>
    <w:rsid w:val="007E6312"/>
    <w:rsid w:val="007E7FD3"/>
    <w:rsid w:val="007F07A4"/>
    <w:rsid w:val="007F31BC"/>
    <w:rsid w:val="007F420D"/>
    <w:rsid w:val="00805C35"/>
    <w:rsid w:val="00806492"/>
    <w:rsid w:val="00812C68"/>
    <w:rsid w:val="00820FD3"/>
    <w:rsid w:val="008269F0"/>
    <w:rsid w:val="00826A66"/>
    <w:rsid w:val="00830327"/>
    <w:rsid w:val="00833AA5"/>
    <w:rsid w:val="00837A92"/>
    <w:rsid w:val="00844816"/>
    <w:rsid w:val="008638AB"/>
    <w:rsid w:val="008653D4"/>
    <w:rsid w:val="00867374"/>
    <w:rsid w:val="008678EB"/>
    <w:rsid w:val="00872E0F"/>
    <w:rsid w:val="008764C0"/>
    <w:rsid w:val="00876F0D"/>
    <w:rsid w:val="00882519"/>
    <w:rsid w:val="00894606"/>
    <w:rsid w:val="0089698F"/>
    <w:rsid w:val="008B4063"/>
    <w:rsid w:val="008B5E5E"/>
    <w:rsid w:val="008B687A"/>
    <w:rsid w:val="008C16E9"/>
    <w:rsid w:val="008C4C0F"/>
    <w:rsid w:val="008D5725"/>
    <w:rsid w:val="008D60E5"/>
    <w:rsid w:val="00905296"/>
    <w:rsid w:val="00912A23"/>
    <w:rsid w:val="00922D85"/>
    <w:rsid w:val="00927B7A"/>
    <w:rsid w:val="009332E6"/>
    <w:rsid w:val="009363D5"/>
    <w:rsid w:val="00936A79"/>
    <w:rsid w:val="00956FEE"/>
    <w:rsid w:val="009624BB"/>
    <w:rsid w:val="00962F66"/>
    <w:rsid w:val="00967876"/>
    <w:rsid w:val="00974F96"/>
    <w:rsid w:val="00986608"/>
    <w:rsid w:val="00992502"/>
    <w:rsid w:val="009B5437"/>
    <w:rsid w:val="009B551C"/>
    <w:rsid w:val="009C1F06"/>
    <w:rsid w:val="009E353C"/>
    <w:rsid w:val="009E64C8"/>
    <w:rsid w:val="009F1347"/>
    <w:rsid w:val="00A03435"/>
    <w:rsid w:val="00A12F14"/>
    <w:rsid w:val="00A600A4"/>
    <w:rsid w:val="00A64CA0"/>
    <w:rsid w:val="00A74B54"/>
    <w:rsid w:val="00AB4B1E"/>
    <w:rsid w:val="00AD5CCC"/>
    <w:rsid w:val="00AF0437"/>
    <w:rsid w:val="00AF2BB3"/>
    <w:rsid w:val="00AF445F"/>
    <w:rsid w:val="00B00FF3"/>
    <w:rsid w:val="00B036DE"/>
    <w:rsid w:val="00B06BF4"/>
    <w:rsid w:val="00B07F41"/>
    <w:rsid w:val="00B1407E"/>
    <w:rsid w:val="00B16465"/>
    <w:rsid w:val="00B20A8D"/>
    <w:rsid w:val="00B22E22"/>
    <w:rsid w:val="00B27696"/>
    <w:rsid w:val="00B367B2"/>
    <w:rsid w:val="00B52246"/>
    <w:rsid w:val="00B80533"/>
    <w:rsid w:val="00B82843"/>
    <w:rsid w:val="00BA3A47"/>
    <w:rsid w:val="00BA646C"/>
    <w:rsid w:val="00BD1A32"/>
    <w:rsid w:val="00BD4E90"/>
    <w:rsid w:val="00BF37BD"/>
    <w:rsid w:val="00C008D8"/>
    <w:rsid w:val="00C0165A"/>
    <w:rsid w:val="00C16C78"/>
    <w:rsid w:val="00C22359"/>
    <w:rsid w:val="00C34D75"/>
    <w:rsid w:val="00C35A03"/>
    <w:rsid w:val="00C3645D"/>
    <w:rsid w:val="00C53042"/>
    <w:rsid w:val="00C65AB8"/>
    <w:rsid w:val="00C77711"/>
    <w:rsid w:val="00C82451"/>
    <w:rsid w:val="00C824FA"/>
    <w:rsid w:val="00C828EC"/>
    <w:rsid w:val="00C90195"/>
    <w:rsid w:val="00C90B3F"/>
    <w:rsid w:val="00C93845"/>
    <w:rsid w:val="00C95862"/>
    <w:rsid w:val="00C96100"/>
    <w:rsid w:val="00C97073"/>
    <w:rsid w:val="00CB1F99"/>
    <w:rsid w:val="00CC7EE7"/>
    <w:rsid w:val="00CD2226"/>
    <w:rsid w:val="00CD42FF"/>
    <w:rsid w:val="00CD7981"/>
    <w:rsid w:val="00CF6E1A"/>
    <w:rsid w:val="00CF6F29"/>
    <w:rsid w:val="00D0443A"/>
    <w:rsid w:val="00D20B34"/>
    <w:rsid w:val="00D273BE"/>
    <w:rsid w:val="00D36A37"/>
    <w:rsid w:val="00D3748A"/>
    <w:rsid w:val="00D40EF9"/>
    <w:rsid w:val="00D416C2"/>
    <w:rsid w:val="00D41CF0"/>
    <w:rsid w:val="00D507FC"/>
    <w:rsid w:val="00D6121A"/>
    <w:rsid w:val="00D66B57"/>
    <w:rsid w:val="00DA3AD6"/>
    <w:rsid w:val="00DA6B66"/>
    <w:rsid w:val="00DB02E4"/>
    <w:rsid w:val="00DC11A1"/>
    <w:rsid w:val="00DC690A"/>
    <w:rsid w:val="00DD219A"/>
    <w:rsid w:val="00DD501D"/>
    <w:rsid w:val="00DD5F4F"/>
    <w:rsid w:val="00DD7968"/>
    <w:rsid w:val="00DE299B"/>
    <w:rsid w:val="00DE3F60"/>
    <w:rsid w:val="00DE5271"/>
    <w:rsid w:val="00DF681B"/>
    <w:rsid w:val="00E05692"/>
    <w:rsid w:val="00E07849"/>
    <w:rsid w:val="00E161A5"/>
    <w:rsid w:val="00E206F2"/>
    <w:rsid w:val="00E31E87"/>
    <w:rsid w:val="00E55EEB"/>
    <w:rsid w:val="00E57AA4"/>
    <w:rsid w:val="00E70768"/>
    <w:rsid w:val="00E713EE"/>
    <w:rsid w:val="00E93E35"/>
    <w:rsid w:val="00EA0192"/>
    <w:rsid w:val="00EA2543"/>
    <w:rsid w:val="00EB1023"/>
    <w:rsid w:val="00ED0CC8"/>
    <w:rsid w:val="00ED30F2"/>
    <w:rsid w:val="00EE2F78"/>
    <w:rsid w:val="00EE3937"/>
    <w:rsid w:val="00EE5924"/>
    <w:rsid w:val="00EE79DB"/>
    <w:rsid w:val="00F00503"/>
    <w:rsid w:val="00F02B0D"/>
    <w:rsid w:val="00F04305"/>
    <w:rsid w:val="00F200F9"/>
    <w:rsid w:val="00F22090"/>
    <w:rsid w:val="00F24A17"/>
    <w:rsid w:val="00F47A9A"/>
    <w:rsid w:val="00F50D1D"/>
    <w:rsid w:val="00F56AC9"/>
    <w:rsid w:val="00F6664A"/>
    <w:rsid w:val="00F75973"/>
    <w:rsid w:val="00F770C0"/>
    <w:rsid w:val="00F82DFD"/>
    <w:rsid w:val="00F841C6"/>
    <w:rsid w:val="00F8579D"/>
    <w:rsid w:val="00F85F79"/>
    <w:rsid w:val="00F91516"/>
    <w:rsid w:val="00F93089"/>
    <w:rsid w:val="00F93A86"/>
    <w:rsid w:val="00FA4387"/>
    <w:rsid w:val="00FB3155"/>
    <w:rsid w:val="00FC3F28"/>
    <w:rsid w:val="00FD5538"/>
    <w:rsid w:val="00FF0622"/>
    <w:rsid w:val="00FF4688"/>
    <w:rsid w:val="00FF54C9"/>
    <w:rsid w:val="0BE523CB"/>
    <w:rsid w:val="38BA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5"/>
    <w:link w:val="4"/>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22</Pages>
  <Words>1851</Words>
  <Characters>10556</Characters>
  <Lines>87</Lines>
  <Paragraphs>24</Paragraphs>
  <TotalTime>193</TotalTime>
  <ScaleCrop>false</ScaleCrop>
  <LinksUpToDate>false</LinksUpToDate>
  <CharactersWithSpaces>12383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Administrator</cp:lastModifiedBy>
  <cp:lastPrinted>2022-03-10T06:59:00Z</cp:lastPrinted>
  <dcterms:modified xsi:type="dcterms:W3CDTF">2022-12-02T02:04:14Z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E9C514F6892E47DBBE2651138615523F</vt:lpwstr>
  </property>
</Properties>
</file>