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  <w:lang w:eastAsia="zh-CN"/>
        </w:rPr>
        <w:t>海南师范大学音乐学院</w:t>
      </w:r>
      <w:r>
        <w:rPr>
          <w:rFonts w:hint="eastAsia"/>
          <w:sz w:val="28"/>
          <w:u w:val="single"/>
        </w:rPr>
        <w:t xml:space="preserve">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       </w:t>
      </w:r>
      <w:r>
        <w:rPr>
          <w:rFonts w:hint="eastAsia"/>
          <w:sz w:val="30"/>
          <w:u w:val="single"/>
          <w:lang w:eastAsia="zh-CN"/>
        </w:rPr>
        <w:t>张龙海</w:t>
      </w:r>
      <w:r>
        <w:rPr>
          <w:rFonts w:hint="eastAsia"/>
          <w:sz w:val="30"/>
          <w:u w:val="single"/>
        </w:rPr>
        <w:t xml:space="preserve">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 xml:space="preserve">现任专业  </w:t>
      </w:r>
      <w:r>
        <w:rPr>
          <w:rFonts w:hint="eastAsia"/>
          <w:sz w:val="24"/>
          <w:lang w:eastAsia="zh-CN"/>
        </w:rPr>
        <w:t xml:space="preserve">          </w:t>
      </w:r>
      <w:r>
        <w:rPr>
          <w:rFonts w:hint="eastAsia"/>
          <w:sz w:val="24"/>
        </w:rPr>
        <w:t xml:space="preserve"> </w:t>
      </w:r>
    </w:p>
    <w:p>
      <w:pPr>
        <w:ind w:left="0" w:leftChars="0" w:firstLine="0" w:firstLineChars="0"/>
        <w:rPr>
          <w:rFonts w:hint="eastAsia"/>
          <w:sz w:val="24"/>
          <w:lang w:eastAsia="zh-CN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  <w:lang w:eastAsia="zh-CN"/>
        </w:rPr>
        <w:t>钢琴副教授</w:t>
      </w:r>
      <w:r>
        <w:rPr>
          <w:rFonts w:hint="eastAsia"/>
          <w:sz w:val="24"/>
          <w:u w:val="single"/>
        </w:rPr>
        <w:t xml:space="preserve">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  <w:lang w:eastAsia="zh-CN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eastAsia="zh-CN"/>
        </w:rPr>
        <w:t>音 乐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eastAsia="zh-CN"/>
        </w:rPr>
        <w:t xml:space="preserve">  教 授 </w:t>
      </w:r>
      <w:bookmarkStart w:id="0" w:name="_GoBack"/>
      <w:bookmarkEnd w:id="0"/>
      <w:r>
        <w:rPr>
          <w:rFonts w:hint="eastAsia"/>
          <w:sz w:val="24"/>
          <w:u w:val="single"/>
          <w:lang w:eastAsia="zh-CN"/>
        </w:rPr>
        <w:t xml:space="preserve">（教学型）        </w:t>
      </w:r>
      <w:r>
        <w:rPr>
          <w:rFonts w:hint="eastAsia"/>
          <w:sz w:val="24"/>
          <w:u w:val="single"/>
        </w:rPr>
        <w:t xml:space="preserve">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eastAsia="zh-CN"/>
        </w:rPr>
        <w:t>13876048161</w:t>
      </w:r>
      <w:r>
        <w:rPr>
          <w:rFonts w:hint="eastAsia"/>
          <w:sz w:val="24"/>
          <w:u w:val="single"/>
        </w:rPr>
        <w:t xml:space="preserve">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    </w:t>
      </w:r>
      <w:r>
        <w:rPr>
          <w:rFonts w:hint="eastAsia"/>
          <w:sz w:val="24"/>
          <w:lang w:eastAsia="zh-CN"/>
        </w:rPr>
        <w:t>2018</w:t>
      </w:r>
      <w:r>
        <w:rPr>
          <w:rFonts w:hint="eastAsia"/>
          <w:sz w:val="24"/>
        </w:rPr>
        <w:t xml:space="preserve">   年    </w:t>
      </w:r>
      <w:r>
        <w:rPr>
          <w:rFonts w:hint="eastAsia"/>
          <w:sz w:val="24"/>
          <w:lang w:eastAsia="zh-CN"/>
        </w:rPr>
        <w:t>11</w:t>
      </w:r>
      <w:r>
        <w:rPr>
          <w:rFonts w:hint="eastAsia"/>
          <w:sz w:val="24"/>
        </w:rPr>
        <w:t xml:space="preserve">  月   </w:t>
      </w:r>
      <w:r>
        <w:rPr>
          <w:rFonts w:hint="eastAsia"/>
          <w:sz w:val="24"/>
          <w:lang w:eastAsia="zh-CN"/>
        </w:rPr>
        <w:t>8</w:t>
      </w:r>
      <w:r>
        <w:rPr>
          <w:rFonts w:hint="eastAsia"/>
          <w:sz w:val="24"/>
        </w:rPr>
        <w:t xml:space="preserve">   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张龙海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1962年11月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名盟委员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高校音乐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22010319621121001X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东北师范大学音乐学院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本科学士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音乐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1987年8月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钢琴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2001年1月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2001年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17年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10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高校教师资格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音乐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钢琴教授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2017年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培训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焦裕禄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  <w:lang w:eastAsia="zh-CN"/>
              </w:rPr>
              <w:t>人才干部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Cs w:val="21"/>
                <w:lang w:eastAsia="zh-CN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吉炳伟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8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  <w:lang w:eastAsia="zh-CN"/>
              </w:rPr>
              <w:t>2001年8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吉林艺术学院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钢琴教学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  <w:lang w:eastAsia="zh-CN"/>
              </w:rPr>
              <w:t>2001</w:t>
            </w:r>
            <w:r>
              <w:rPr>
                <w:rFonts w:hint="eastAsia"/>
                <w:szCs w:val="21"/>
              </w:rPr>
              <w:t xml:space="preserve"> 年  </w:t>
            </w:r>
            <w:r>
              <w:rPr>
                <w:rFonts w:hint="eastAsia"/>
                <w:szCs w:val="21"/>
                <w:lang w:eastAsia="zh-CN"/>
              </w:rPr>
              <w:t>8</w:t>
            </w:r>
            <w:r>
              <w:rPr>
                <w:rFonts w:hint="eastAsia"/>
                <w:szCs w:val="21"/>
              </w:rPr>
              <w:t xml:space="preserve"> 月—   </w:t>
            </w:r>
            <w:r>
              <w:rPr>
                <w:rFonts w:hint="eastAsia"/>
                <w:szCs w:val="21"/>
                <w:lang w:eastAsia="zh-CN"/>
              </w:rPr>
              <w:t>2004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eastAsia="zh-CN"/>
              </w:rPr>
              <w:t>8</w:t>
            </w:r>
            <w:r>
              <w:rPr>
                <w:rFonts w:hint="eastAsia"/>
                <w:szCs w:val="21"/>
              </w:rPr>
              <w:t xml:space="preserve"> 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海南大学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钢琴教学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2004</w:t>
            </w: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eastAsia="zh-CN"/>
              </w:rPr>
              <w:t>8</w:t>
            </w:r>
            <w:r>
              <w:rPr>
                <w:rFonts w:hint="eastAsia"/>
                <w:szCs w:val="21"/>
              </w:rPr>
              <w:t xml:space="preserve">月—   </w:t>
            </w:r>
            <w:r>
              <w:rPr>
                <w:rFonts w:hint="eastAsia"/>
                <w:szCs w:val="21"/>
                <w:lang w:eastAsia="zh-CN"/>
              </w:rPr>
              <w:t>2018</w:t>
            </w: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海南师范大学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钢琴教学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>
      <w:pPr/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4612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Layout w:type="fixed"/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自任高校教师以来，认真执行党的教育方针政策，坚持社会主义，人才培养思想，在培养学生的思想观念上，注重培养中国特色的世界观，人生价值观，注重培养坚定的社会主义教育思想理念，在思想上与党中央保持高度的一致，坚守党的教育思想，树立鲜明的教育观念，培养了大批的艺术音乐师范人才，培养了具有思想品德高尚，又有全面能力的师范人才，在工作中，不断的树立高尚的师德师风，以表率的力量来带领教学，从而影响了学生的思想信念，在培养人才的思想品质上，以表率的作用，作出先进的行动，为贫困山区十余年来进行了大量的教育工作，为贫困山区注入高雅艺术，艺术技能艺术品质和艺术观念，影响受众学生达千余人之多，为孩子们，在艺术教育上的培养付出了汗水，在大量的教育工作中，付出了辛勤的劳动和力量，得到了充分的肯定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高级职称填近五年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2013年，2014年，2015年，2016年，2017年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良好</w:t>
            </w:r>
          </w:p>
        </w:tc>
      </w:tr>
      <w:tr>
        <w:tblPrEx>
          <w:tblLayout w:type="fixed"/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因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>
        <w:tblPrEx>
          <w:tblLayout w:type="fixed"/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员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2次</w:t>
            </w:r>
          </w:p>
        </w:tc>
      </w:tr>
    </w:tbl>
    <w:p>
      <w:pPr/>
    </w:p>
    <w:p>
      <w:pPr>
        <w:widowControl/>
        <w:jc w:val="left"/>
      </w:pPr>
      <w:r>
        <w:br w:type="page"/>
      </w:r>
    </w:p>
    <w:p>
      <w:pPr/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近五年，承担全日期本科生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eastAsia="zh-CN"/>
              </w:rPr>
              <w:t>2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eastAsia="zh-CN"/>
              </w:rPr>
              <w:t>2100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  <w:u w:val="single"/>
                <w:lang w:eastAsia="zh-CN"/>
              </w:rPr>
              <w:t>420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  <w:u w:val="single"/>
                <w:lang w:eastAsia="zh-CN"/>
              </w:rPr>
              <w:t>73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符合工作在教学第一线培养了大批的人才为贫困山区全心付出，有重大影响受到学生的爱戴。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任现职以来（或近七年）教学工作情况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2014年第一学期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2013级2014级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4"/>
                <w:szCs w:val="21"/>
                <w:lang w:eastAsia="zh-CN"/>
              </w:rPr>
              <w:t>210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2014年第二学期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 配器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2013级2014级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2015年第一学期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 配器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2014级2015级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2015年第二学期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 钢琴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2014级2015级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120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2016年第一学期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2015级2016级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110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2016年第二学期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 钢琴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2015级2016级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120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2017年第一学期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 钢琴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2016级2017级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2017第二学期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 钢琴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2016级2017级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2018第一学期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数码钢琴 钢琴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2016级2017级2018级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7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符合教学与科研并重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（2）A级论文一篇B级论文四篇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任选条件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（1）著作十五万字</w:t>
            </w: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 xml:space="preserve"> 情况</w:t>
            </w:r>
          </w:p>
        </w:tc>
        <w:tc>
          <w:tcPr>
            <w:tcW w:w="8221" w:type="dxa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符合担任（1）必备条件 艺术（2）任选条件（1）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符合教学与科研并重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（2）A级论文一篇B级论文四篇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任选条件</w:t>
            </w:r>
          </w:p>
          <w:p>
            <w:pPr/>
            <w:r>
              <w:rPr>
                <w:rFonts w:hint="eastAsia"/>
                <w:lang w:eastAsia="zh-CN"/>
              </w:rPr>
              <w:t>（1）著作十五万字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符合教学与科研并重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（2）A级论文一篇B级论文四篇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任选条件</w:t>
            </w:r>
          </w:p>
          <w:p>
            <w:pPr/>
            <w:r>
              <w:rPr>
                <w:rFonts w:hint="eastAsia"/>
                <w:lang w:eastAsia="zh-CN"/>
              </w:rPr>
              <w:t>（1）著作十五万字</w:t>
            </w:r>
          </w:p>
          <w:p>
            <w:pPr/>
          </w:p>
        </w:tc>
      </w:tr>
    </w:tbl>
    <w:p>
      <w:pPr/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艺术（2）符合艺术类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符合任选条件（1）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符合任选条件（1）二十万字专著钢琴演奏论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个人校内学术讲座次数（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pPr/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pPr/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黎族民歌简明教程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2014.6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海南教育厅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2015年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0.5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主持副主编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/>
          </w:p>
        </w:tc>
        <w:tc>
          <w:tcPr>
            <w:tcW w:w="3584" w:type="dxa"/>
            <w:gridSpan w:val="3"/>
            <w:vAlign w:val="center"/>
          </w:tcPr>
          <w:p>
            <w:pPr/>
          </w:p>
        </w:tc>
        <w:tc>
          <w:tcPr>
            <w:tcW w:w="955" w:type="dxa"/>
            <w:vAlign w:val="center"/>
          </w:tcPr>
          <w:p>
            <w:pPr/>
          </w:p>
        </w:tc>
        <w:tc>
          <w:tcPr>
            <w:tcW w:w="1584" w:type="dxa"/>
            <w:vAlign w:val="center"/>
          </w:tcPr>
          <w:p>
            <w:pPr/>
          </w:p>
        </w:tc>
        <w:tc>
          <w:tcPr>
            <w:tcW w:w="722" w:type="dxa"/>
            <w:vAlign w:val="center"/>
          </w:tcPr>
          <w:p>
            <w:pPr/>
          </w:p>
        </w:tc>
        <w:tc>
          <w:tcPr>
            <w:tcW w:w="1064" w:type="dxa"/>
            <w:vAlign w:val="center"/>
          </w:tcPr>
          <w:p>
            <w:pPr/>
          </w:p>
        </w:tc>
        <w:tc>
          <w:tcPr>
            <w:tcW w:w="1296" w:type="dxa"/>
            <w:vAlign w:val="center"/>
          </w:tcPr>
          <w:p>
            <w:pPr/>
          </w:p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/>
          </w:p>
        </w:tc>
        <w:tc>
          <w:tcPr>
            <w:tcW w:w="3584" w:type="dxa"/>
            <w:gridSpan w:val="3"/>
            <w:vAlign w:val="center"/>
          </w:tcPr>
          <w:p>
            <w:pPr/>
          </w:p>
        </w:tc>
        <w:tc>
          <w:tcPr>
            <w:tcW w:w="955" w:type="dxa"/>
            <w:vAlign w:val="center"/>
          </w:tcPr>
          <w:p>
            <w:pPr/>
          </w:p>
        </w:tc>
        <w:tc>
          <w:tcPr>
            <w:tcW w:w="1584" w:type="dxa"/>
            <w:vAlign w:val="center"/>
          </w:tcPr>
          <w:p>
            <w:pPr/>
          </w:p>
        </w:tc>
        <w:tc>
          <w:tcPr>
            <w:tcW w:w="722" w:type="dxa"/>
            <w:vAlign w:val="center"/>
          </w:tcPr>
          <w:p>
            <w:pPr/>
          </w:p>
        </w:tc>
        <w:tc>
          <w:tcPr>
            <w:tcW w:w="1064" w:type="dxa"/>
            <w:vAlign w:val="center"/>
          </w:tcPr>
          <w:p>
            <w:pPr/>
          </w:p>
        </w:tc>
        <w:tc>
          <w:tcPr>
            <w:tcW w:w="1296" w:type="dxa"/>
            <w:vAlign w:val="center"/>
          </w:tcPr>
          <w:p>
            <w:pPr/>
          </w:p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/>
          </w:p>
          <w:p>
            <w:pPr/>
          </w:p>
        </w:tc>
        <w:tc>
          <w:tcPr>
            <w:tcW w:w="3584" w:type="dxa"/>
            <w:gridSpan w:val="3"/>
            <w:vAlign w:val="center"/>
          </w:tcPr>
          <w:p>
            <w:pPr/>
          </w:p>
        </w:tc>
        <w:tc>
          <w:tcPr>
            <w:tcW w:w="955" w:type="dxa"/>
            <w:vAlign w:val="center"/>
          </w:tcPr>
          <w:p>
            <w:pPr/>
          </w:p>
        </w:tc>
        <w:tc>
          <w:tcPr>
            <w:tcW w:w="1584" w:type="dxa"/>
            <w:vAlign w:val="center"/>
          </w:tcPr>
          <w:p>
            <w:pPr/>
          </w:p>
        </w:tc>
        <w:tc>
          <w:tcPr>
            <w:tcW w:w="722" w:type="dxa"/>
            <w:vAlign w:val="center"/>
          </w:tcPr>
          <w:p>
            <w:pPr/>
          </w:p>
        </w:tc>
        <w:tc>
          <w:tcPr>
            <w:tcW w:w="1064" w:type="dxa"/>
            <w:vAlign w:val="center"/>
          </w:tcPr>
          <w:p>
            <w:pPr/>
          </w:p>
        </w:tc>
        <w:tc>
          <w:tcPr>
            <w:tcW w:w="1296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>
            <w:pPr/>
          </w:p>
          <w:p>
            <w:pPr/>
          </w:p>
        </w:tc>
        <w:tc>
          <w:tcPr>
            <w:tcW w:w="3584" w:type="dxa"/>
            <w:gridSpan w:val="3"/>
            <w:vAlign w:val="center"/>
          </w:tcPr>
          <w:p>
            <w:pPr/>
          </w:p>
        </w:tc>
        <w:tc>
          <w:tcPr>
            <w:tcW w:w="955" w:type="dxa"/>
            <w:vAlign w:val="center"/>
          </w:tcPr>
          <w:p>
            <w:pPr/>
          </w:p>
        </w:tc>
        <w:tc>
          <w:tcPr>
            <w:tcW w:w="1584" w:type="dxa"/>
            <w:vAlign w:val="center"/>
          </w:tcPr>
          <w:p>
            <w:pPr/>
          </w:p>
        </w:tc>
        <w:tc>
          <w:tcPr>
            <w:tcW w:w="722" w:type="dxa"/>
            <w:vAlign w:val="center"/>
          </w:tcPr>
          <w:p>
            <w:pPr/>
          </w:p>
        </w:tc>
        <w:tc>
          <w:tcPr>
            <w:tcW w:w="1064" w:type="dxa"/>
            <w:vAlign w:val="center"/>
          </w:tcPr>
          <w:p>
            <w:pPr/>
          </w:p>
        </w:tc>
        <w:tc>
          <w:tcPr>
            <w:tcW w:w="1296" w:type="dxa"/>
            <w:vAlign w:val="center"/>
          </w:tcPr>
          <w:p>
            <w:pPr/>
          </w:p>
        </w:tc>
      </w:tr>
    </w:tbl>
    <w:p>
      <w:pPr/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   篇，其中：A类   篇，B类   篇，C类  篇，D类  篇</w:t>
            </w:r>
          </w:p>
        </w:tc>
      </w:tr>
      <w:tr>
        <w:tblPrEx>
          <w:tblLayout w:type="fixed"/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千载传承 远古回声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《音乐创作》2015年第七期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核心刊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斯克里亚宾钢琴奏鸣曲OP.68.NO.9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《艺术教育》2013年第七期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核心刊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钢琴演奏中国古典表现人文精神之我见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《海南大学学报》2003年第2期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核心刊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隐藏在音乐背后的精神王国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《艺术教育》2012年第12期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核心刊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钢琴教学个性培养模式探析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《海南师范大学学报》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核心刊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</w:tbl>
    <w:p>
      <w:pPr/>
    </w:p>
    <w:tbl>
      <w:tblPr>
        <w:tblStyle w:val="7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pPr/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pPr/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/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《海风飘来的椰香》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专辑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独立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吉林文史出版社2009年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（2009）138661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60千字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60千字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/>
          </w:p>
          <w:p>
            <w:pPr/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655" w:type="dxa"/>
            <w:vAlign w:val="center"/>
          </w:tcPr>
          <w:p>
            <w:pPr/>
          </w:p>
        </w:tc>
        <w:tc>
          <w:tcPr>
            <w:tcW w:w="1058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/>
          </w:p>
          <w:p>
            <w:pPr/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655" w:type="dxa"/>
            <w:vAlign w:val="center"/>
          </w:tcPr>
          <w:p>
            <w:pPr/>
          </w:p>
        </w:tc>
        <w:tc>
          <w:tcPr>
            <w:tcW w:w="1058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/>
          </w:p>
          <w:p>
            <w:pPr/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655" w:type="dxa"/>
            <w:vAlign w:val="center"/>
          </w:tcPr>
          <w:p>
            <w:pPr/>
          </w:p>
        </w:tc>
        <w:tc>
          <w:tcPr>
            <w:tcW w:w="1058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/>
          </w:p>
          <w:p>
            <w:pPr/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655" w:type="dxa"/>
            <w:vAlign w:val="center"/>
          </w:tcPr>
          <w:p>
            <w:pPr/>
          </w:p>
        </w:tc>
        <w:tc>
          <w:tcPr>
            <w:tcW w:w="1058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/>
          </w:p>
          <w:p>
            <w:pPr/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655" w:type="dxa"/>
            <w:vAlign w:val="center"/>
          </w:tcPr>
          <w:p>
            <w:pPr/>
          </w:p>
        </w:tc>
        <w:tc>
          <w:tcPr>
            <w:tcW w:w="1058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/>
          </w:p>
          <w:p>
            <w:pPr/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655" w:type="dxa"/>
            <w:vAlign w:val="center"/>
          </w:tcPr>
          <w:p>
            <w:pPr/>
          </w:p>
        </w:tc>
        <w:tc>
          <w:tcPr>
            <w:tcW w:w="1058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</w:tr>
    </w:tbl>
    <w:p>
      <w:pPr/>
    </w:p>
    <w:tbl>
      <w:tblPr>
        <w:tblStyle w:val="7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《海风飘来的椰香》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专辑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>
      <w:pPr/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/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2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《黎族民歌简明教程》</w:t>
            </w:r>
          </w:p>
        </w:tc>
        <w:tc>
          <w:tcPr>
            <w:tcW w:w="1639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海南省教育厅</w:t>
            </w:r>
          </w:p>
        </w:tc>
        <w:tc>
          <w:tcPr>
            <w:tcW w:w="106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2014年11月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  <w:tc>
          <w:tcPr>
            <w:tcW w:w="970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>
            <w:pPr/>
          </w:p>
          <w:p>
            <w:pPr/>
          </w:p>
        </w:tc>
        <w:tc>
          <w:tcPr>
            <w:tcW w:w="3523" w:type="dxa"/>
            <w:vAlign w:val="center"/>
          </w:tcPr>
          <w:p>
            <w:pPr/>
          </w:p>
        </w:tc>
        <w:tc>
          <w:tcPr>
            <w:tcW w:w="1639" w:type="dxa"/>
            <w:vAlign w:val="center"/>
          </w:tcPr>
          <w:p>
            <w:pPr/>
          </w:p>
        </w:tc>
        <w:tc>
          <w:tcPr>
            <w:tcW w:w="1063" w:type="dxa"/>
            <w:vAlign w:val="center"/>
          </w:tcPr>
          <w:p>
            <w:pPr/>
          </w:p>
        </w:tc>
        <w:tc>
          <w:tcPr>
            <w:tcW w:w="928" w:type="dxa"/>
            <w:vAlign w:val="center"/>
          </w:tcPr>
          <w:p>
            <w:pPr/>
          </w:p>
        </w:tc>
        <w:tc>
          <w:tcPr>
            <w:tcW w:w="1091" w:type="dxa"/>
            <w:vAlign w:val="center"/>
          </w:tcPr>
          <w:p>
            <w:pPr/>
          </w:p>
        </w:tc>
        <w:tc>
          <w:tcPr>
            <w:tcW w:w="970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>
            <w:pPr/>
          </w:p>
          <w:p>
            <w:pPr/>
          </w:p>
        </w:tc>
        <w:tc>
          <w:tcPr>
            <w:tcW w:w="3523" w:type="dxa"/>
            <w:vAlign w:val="center"/>
          </w:tcPr>
          <w:p>
            <w:pPr/>
          </w:p>
        </w:tc>
        <w:tc>
          <w:tcPr>
            <w:tcW w:w="1639" w:type="dxa"/>
            <w:vAlign w:val="center"/>
          </w:tcPr>
          <w:p>
            <w:pPr/>
          </w:p>
        </w:tc>
        <w:tc>
          <w:tcPr>
            <w:tcW w:w="1063" w:type="dxa"/>
            <w:vAlign w:val="center"/>
          </w:tcPr>
          <w:p>
            <w:pPr/>
          </w:p>
        </w:tc>
        <w:tc>
          <w:tcPr>
            <w:tcW w:w="928" w:type="dxa"/>
            <w:vAlign w:val="center"/>
          </w:tcPr>
          <w:p>
            <w:pPr/>
          </w:p>
        </w:tc>
        <w:tc>
          <w:tcPr>
            <w:tcW w:w="1091" w:type="dxa"/>
            <w:vAlign w:val="center"/>
          </w:tcPr>
          <w:p>
            <w:pPr/>
          </w:p>
        </w:tc>
        <w:tc>
          <w:tcPr>
            <w:tcW w:w="970" w:type="dxa"/>
            <w:vAlign w:val="center"/>
          </w:tcPr>
          <w:p>
            <w:pPr/>
          </w:p>
        </w:tc>
      </w:tr>
    </w:tbl>
    <w:p>
      <w:pPr/>
    </w:p>
    <w:tbl>
      <w:tblPr>
        <w:tblStyle w:val="7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/>
          </w:p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418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/>
          </w:p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418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/>
          </w:p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418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418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418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</w:tbl>
    <w:p>
      <w:pPr/>
      <w:r>
        <w:rPr>
          <w:rFonts w:hint="eastAsia"/>
        </w:rPr>
        <w:t xml:space="preserve"> </w:t>
      </w:r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/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/>
    </w:p>
    <w:p>
      <w:pPr>
        <w:widowControl/>
        <w:jc w:val="left"/>
      </w:pPr>
      <w:r>
        <w:br w:type="page"/>
      </w:r>
    </w:p>
    <w:p>
      <w:pPr/>
    </w:p>
    <w:tbl>
      <w:tblPr>
        <w:tblStyle w:val="7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/>
          </w:p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/>
          </w:p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/>
          </w:p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>
            <w:pPr/>
          </w:p>
        </w:tc>
        <w:tc>
          <w:tcPr>
            <w:tcW w:w="3706" w:type="dxa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  <w:tc>
          <w:tcPr>
            <w:tcW w:w="850" w:type="dxa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/>
          </w:p>
        </w:tc>
      </w:tr>
    </w:tbl>
    <w:p>
      <w:pPr/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/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钢琴即兴演奏的价值与思考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音乐学院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2018年11月3日</w:t>
            </w: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101报告厅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学生教师60人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走进贝多芬的音乐圣殿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音乐学院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2018年11月10日</w:t>
            </w: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101报告厅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学生教师90人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/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7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rPr>
          <w:trHeight w:val="12850" w:hRule="atLeast"/>
        </w:trPr>
        <w:tc>
          <w:tcPr>
            <w:tcW w:w="9854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自担任副教授以来，在钢琴教学上，研究出一套独特的钢琴教学体系，在钢琴的演奏钢琴的风格钢琴的艺术审美进行了立体而全面的构建，在实践教学中，在教学独特的体系中，以学生不同个性为基础同时注入这种独特的教学手法与理念，在钢琴教学中，突出注意培养训练基础技能，在这一体系中，紧紧抓住基础技能，在超强能量的训练下，提升学生的演奏技巧，在技巧中突出技术与个性的综合运用，培养学生的个性风格，在艺术表现上，注重培养体系中的艺术内涵，突出训练钢琴演奏艺术个性的启发和培养，在钢琴表达上，突出艺术的独特的艺术表达，融入个性的艺术个性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钢琴演奏艺术审美的范畴中，进行立体而全面的艺术训练，运用强化与个性相融合的手段，进行训练突出艺术风格的把握，艺术个性的张扬，艺术综合审美的表达，在训练钢琴演奏的艺术表现中，注入基础与表现相结合，注重基础技能与音乐的双重融合，在融合中进行全方位的训练与提高，在提高中注重艺术审美的表达，从而培养出一大批具有个性丰富的全面的钢琴艺术表现人才。</w:t>
            </w:r>
          </w:p>
          <w:p>
            <w:pPr/>
            <w:r>
              <w:rPr>
                <w:rFonts w:hint="eastAsia"/>
                <w:lang w:eastAsia="zh-CN"/>
              </w:rPr>
              <w:t>在钢琴教学中突出技法与艺术的综合创造，以中外经典作品为引领，从中提取优秀的经典作为教学素材，在经典中打造高水准的艺术视野，在全面的艺术视野中，打造艺术表现的高度，在人文精神与音乐审美全方面的进行立体化的培养，训练培养出大批的艺术表现与钢琴艺术的全面人才。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  <w:r>
              <w:rPr>
                <w:rFonts w:hint="eastAsia"/>
              </w:rPr>
              <w:t>本人承诺：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以上情况属实</w:t>
            </w:r>
          </w:p>
          <w:p>
            <w:pPr/>
            <w:r>
              <w:rPr>
                <w:rFonts w:hint="eastAsia"/>
              </w:rPr>
              <w:t xml:space="preserve">                                               签名：                   </w:t>
            </w:r>
            <w:r>
              <w:rPr>
                <w:rFonts w:hint="eastAsia"/>
                <w:lang w:eastAsia="zh-CN"/>
              </w:rPr>
              <w:t>2018年11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</w:tbl>
    <w:p>
      <w:pPr/>
    </w:p>
    <w:tbl>
      <w:tblPr>
        <w:tblStyle w:val="6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各学院专业技术评审工作委员会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/>
    </w:p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6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12</Pages>
  <Words>688</Words>
  <Characters>3928</Characters>
  <Lines>32</Lines>
  <Paragraphs>9</Paragraphs>
  <ScaleCrop>false</ScaleCrop>
  <LinksUpToDate>false</LinksUpToDate>
  <CharactersWithSpaces>4607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2018-11-01T02:49:00Z</dcterms:created>
  <dc:creator>符桑岚</dc:creator>
  <cp:lastModifiedBy>小可爱的iphone</cp:lastModifiedBy>
  <cp:lastPrinted>2018-11-01T00:03:00Z</cp:lastPrinted>
  <dcterms:modified xsi:type="dcterms:W3CDTF">2018-11-08T20:06:32Z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