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</w:t>
      </w: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龙昆南校区田家炳教育书院学生文明行为督察工作安排表</w:t>
      </w:r>
    </w:p>
    <w:tbl>
      <w:tblPr>
        <w:tblStyle w:val="3"/>
        <w:tblpPr w:leftFromText="180" w:rightFromText="180" w:vertAnchor="text" w:horzAnchor="margin" w:tblpY="131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326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督察单位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督察周数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数学与统计学院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第13周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物理与电子工程学院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第14周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第15周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初等教育学院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第16周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桂林洋校区公共楼学生文明行为督察工作安排表</w:t>
      </w:r>
    </w:p>
    <w:tbl>
      <w:tblPr>
        <w:tblStyle w:val="3"/>
        <w:tblpPr w:leftFromText="180" w:rightFromText="180" w:vertAnchor="text" w:horzAnchor="margin" w:tblpY="131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326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督察单位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督察周数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第13周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经济与管理学院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第14周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第15周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3267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第16周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备注：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1、督察时间为周一至周五上午7：40-8：15，下午14：10-14：45；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2、上午8：05—8：15，下午14：35—14：45为登记迟到学生时间段，迟到学生必须如实登记方可准许进入教学区；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3、每检查时段督察队由一名老师和四名学生干部组成；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4、重点对学生的着装、是否携带食物和迟到等情况开展督察；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5、督察人员要佩戴校徽和工作牌，着装要尽量统一、整齐大方。</w:t>
      </w:r>
    </w:p>
    <w:p>
      <w:pPr>
        <w:widowControl/>
        <w:snapToGrid w:val="0"/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6、学生处不定期安排人员与校学生会学生干部</w:t>
      </w:r>
      <w:r>
        <w:rPr>
          <w:rFonts w:hint="eastAsia" w:ascii="仿宋" w:hAnsi="仿宋" w:eastAsia="仿宋"/>
          <w:sz w:val="28"/>
          <w:szCs w:val="28"/>
        </w:rPr>
        <w:t>检查督察工作情况。</w:t>
      </w:r>
    </w:p>
    <w:p>
      <w:pPr>
        <w:widowControl/>
        <w:snapToGrid w:val="0"/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snapToGrid w:val="0"/>
        <w:spacing w:line="500" w:lineRule="exact"/>
        <w:rPr>
          <w:rFonts w:hint="eastAsia" w:ascii="仿宋_GB2312" w:hAnsi="仿宋" w:eastAsia="仿宋_GB2312"/>
          <w:sz w:val="28"/>
          <w:szCs w:val="28"/>
        </w:rPr>
        <w:sectPr>
          <w:pgSz w:w="11906" w:h="16838"/>
          <w:pgMar w:top="1134" w:right="1418" w:bottom="1440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暖夕夏</cp:lastModifiedBy>
  <dcterms:modified xsi:type="dcterms:W3CDTF">2018-05-17T08:36:25Z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