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电子商务参赛作品评分标准</w:t>
      </w:r>
    </w:p>
    <w:p>
      <w:pPr>
        <w:widowControl/>
        <w:shd w:val="clear" w:color="auto" w:fill="FFFFFF"/>
        <w:spacing w:line="420" w:lineRule="atLeast"/>
        <w:ind w:firstLine="602"/>
        <w:jc w:val="center"/>
        <w:rPr>
          <w:rFonts w:ascii="Tahoma" w:hAnsi="Tahoma" w:eastAsia="宋体" w:cs="Tahoma"/>
          <w:color w:val="016CA2"/>
          <w:kern w:val="0"/>
          <w:szCs w:val="21"/>
        </w:rPr>
      </w:pPr>
    </w:p>
    <w:tbl>
      <w:tblPr>
        <w:tblStyle w:val="7"/>
        <w:tblW w:w="8346" w:type="dxa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single" w:color="4F81BD" w:themeColor="accent1" w:sz="8" w:space="0"/>
          <w:insideV w:val="single" w:color="4F81BD" w:themeColor="accen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5079"/>
        <w:gridCol w:w="1663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  <w:vAlign w:val="center"/>
          </w:tcPr>
          <w:p>
            <w:pPr>
              <w:widowControl/>
              <w:spacing w:before="0" w:after="0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5079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  <w:vAlign w:val="center"/>
          </w:tcPr>
          <w:p>
            <w:pPr>
              <w:widowControl/>
              <w:spacing w:before="0" w:after="0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评分说明</w:t>
            </w:r>
          </w:p>
        </w:tc>
        <w:tc>
          <w:tcPr>
            <w:tcW w:w="1663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  <w:vAlign w:val="center"/>
          </w:tcPr>
          <w:p>
            <w:pPr>
              <w:widowControl/>
              <w:spacing w:before="0" w:after="0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项目分值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实用性与创新能力</w:t>
            </w:r>
          </w:p>
        </w:tc>
        <w:tc>
          <w:tcPr>
            <w:tcW w:w="5079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1663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产品与服务</w:t>
            </w:r>
          </w:p>
        </w:tc>
        <w:tc>
          <w:tcPr>
            <w:tcW w:w="5079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对产品与服务的描述清晰，特色鲜明，有较显著的竞争优势或市场优势。</w:t>
            </w:r>
          </w:p>
        </w:tc>
        <w:tc>
          <w:tcPr>
            <w:tcW w:w="1663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市场分析</w:t>
            </w:r>
          </w:p>
        </w:tc>
        <w:tc>
          <w:tcPr>
            <w:tcW w:w="5079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1663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营销策略</w:t>
            </w:r>
          </w:p>
        </w:tc>
        <w:tc>
          <w:tcPr>
            <w:tcW w:w="5079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1663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方案实现</w:t>
            </w:r>
          </w:p>
        </w:tc>
        <w:tc>
          <w:tcPr>
            <w:tcW w:w="5079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1663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5079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1663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3" w:type="dxa"/>
            <w:gridSpan w:val="2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ind w:firstLine="562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1663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420" w:lineRule="atLeast"/>
        <w:ind w:firstLine="420"/>
        <w:jc w:val="left"/>
        <w:rPr>
          <w:rFonts w:ascii="Tahoma" w:hAnsi="Tahoma" w:eastAsia="宋体" w:cs="Tahoma"/>
          <w:color w:val="016CA2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ind w:firstLine="420"/>
        <w:jc w:val="left"/>
      </w:pPr>
      <w:r>
        <w:rPr>
          <w:rFonts w:ascii="Tahoma" w:hAnsi="Tahoma" w:eastAsia="宋体" w:cs="Tahoma"/>
          <w:color w:val="000000"/>
          <w:kern w:val="0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9C"/>
    <w:rsid w:val="00044533"/>
    <w:rsid w:val="00371038"/>
    <w:rsid w:val="005B2278"/>
    <w:rsid w:val="00A2389C"/>
    <w:rsid w:val="00AF6444"/>
    <w:rsid w:val="00B20333"/>
    <w:rsid w:val="00CE0E19"/>
    <w:rsid w:val="00DE167E"/>
    <w:rsid w:val="00EC6C28"/>
    <w:rsid w:val="37C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Light Grid Accent 1"/>
    <w:basedOn w:val="6"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character" w:customStyle="1" w:styleId="8">
    <w:name w:val="apple-converted-space"/>
    <w:basedOn w:val="5"/>
    <w:uiPriority w:val="0"/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2016-04-12T03:12:00Z</dcterms:created>
  <dc:creator>xgb-0</dc:creator>
  <cp:lastModifiedBy>chengyunzhou</cp:lastModifiedBy>
  <cp:lastPrinted>2016-04-13T08:16:00Z</cp:lastPrinted>
  <dcterms:modified xsi:type="dcterms:W3CDTF">2017-04-18T03:12:39Z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