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33" w:rsidRPr="00FF4EC0" w:rsidRDefault="00AF0B63" w:rsidP="00455FD0">
      <w:pPr>
        <w:spacing w:line="48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服装与</w:t>
      </w:r>
      <w:r w:rsidR="00455FD0">
        <w:rPr>
          <w:rFonts w:ascii="黑体" w:eastAsia="黑体" w:hint="eastAsia"/>
          <w:sz w:val="44"/>
          <w:szCs w:val="44"/>
        </w:rPr>
        <w:t>服饰</w:t>
      </w:r>
      <w:r w:rsidR="00641BAB">
        <w:rPr>
          <w:rFonts w:ascii="黑体" w:eastAsia="黑体" w:hint="eastAsia"/>
          <w:sz w:val="44"/>
          <w:szCs w:val="44"/>
        </w:rPr>
        <w:t>设计</w:t>
      </w:r>
      <w:r w:rsidR="00547033" w:rsidRPr="00FF4EC0">
        <w:rPr>
          <w:rFonts w:ascii="黑体" w:eastAsia="黑体" w:hint="eastAsia"/>
          <w:sz w:val="44"/>
          <w:szCs w:val="44"/>
        </w:rPr>
        <w:t>专业</w:t>
      </w:r>
      <w:r w:rsidR="007D7A2D" w:rsidRPr="00FF4EC0">
        <w:rPr>
          <w:rFonts w:ascii="黑体" w:eastAsia="黑体" w:hint="eastAsia"/>
          <w:sz w:val="44"/>
          <w:szCs w:val="44"/>
        </w:rPr>
        <w:t>本科</w:t>
      </w:r>
      <w:r w:rsidR="00547033" w:rsidRPr="00FF4EC0">
        <w:rPr>
          <w:rFonts w:ascii="黑体" w:eastAsia="黑体" w:hint="eastAsia"/>
          <w:sz w:val="44"/>
          <w:szCs w:val="44"/>
        </w:rPr>
        <w:t>培养</w:t>
      </w:r>
      <w:r w:rsidR="00CB1DAC" w:rsidRPr="00FF4EC0">
        <w:rPr>
          <w:rFonts w:ascii="黑体" w:eastAsia="黑体" w:hint="eastAsia"/>
          <w:sz w:val="44"/>
          <w:szCs w:val="44"/>
        </w:rPr>
        <w:t>方案</w:t>
      </w:r>
    </w:p>
    <w:p w:rsidR="00547033" w:rsidRDefault="00547033" w:rsidP="00547033">
      <w:pPr>
        <w:adjustRightInd w:val="0"/>
        <w:snapToGrid w:val="0"/>
        <w:spacing w:line="460" w:lineRule="exact"/>
        <w:ind w:firstLineChars="236" w:firstLine="663"/>
        <w:rPr>
          <w:rFonts w:ascii="黑体" w:eastAsia="黑体" w:hAnsi="宋体"/>
          <w:b/>
          <w:bCs/>
          <w:sz w:val="28"/>
          <w:szCs w:val="28"/>
        </w:rPr>
      </w:pPr>
    </w:p>
    <w:p w:rsidR="00547033" w:rsidRDefault="009F3F86" w:rsidP="00B82F3F">
      <w:pPr>
        <w:spacing w:line="520" w:lineRule="exact"/>
        <w:ind w:firstLineChars="200" w:firstLine="480"/>
        <w:rPr>
          <w:rFonts w:ascii="黑体" w:eastAsia="黑体"/>
          <w:sz w:val="24"/>
        </w:rPr>
      </w:pPr>
      <w:r w:rsidRPr="00B82F3F">
        <w:rPr>
          <w:rFonts w:ascii="黑体" w:eastAsia="黑体" w:hint="eastAsia"/>
          <w:sz w:val="24"/>
        </w:rPr>
        <w:t>一</w:t>
      </w:r>
      <w:r w:rsidR="00547033" w:rsidRPr="00B82F3F">
        <w:rPr>
          <w:rFonts w:ascii="黑体" w:eastAsia="黑体" w:hint="eastAsia"/>
          <w:sz w:val="24"/>
        </w:rPr>
        <w:t>、培养目标</w:t>
      </w:r>
    </w:p>
    <w:p w:rsidR="00922B5E" w:rsidRDefault="000F7C6A" w:rsidP="000F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本专业培养</w:t>
      </w:r>
      <w:r w:rsidR="00922B5E">
        <w:rPr>
          <w:rFonts w:ascii="宋体" w:hAnsi="宋体" w:hint="eastAsia"/>
        </w:rPr>
        <w:t>具有系统的艺术</w:t>
      </w:r>
      <w:r w:rsidRPr="000F7C6A">
        <w:rPr>
          <w:rFonts w:ascii="宋体" w:hAnsi="宋体" w:hint="eastAsia"/>
        </w:rPr>
        <w:t>修养和较扎实的服装</w:t>
      </w:r>
      <w:r w:rsidR="00922B5E">
        <w:rPr>
          <w:rFonts w:ascii="宋体" w:hAnsi="宋体" w:hint="eastAsia"/>
        </w:rPr>
        <w:t>和服饰设计</w:t>
      </w:r>
      <w:r w:rsidRPr="000F7C6A">
        <w:rPr>
          <w:rFonts w:ascii="宋体" w:hAnsi="宋体" w:hint="eastAsia"/>
        </w:rPr>
        <w:t>学科基础理论，有一定创新实践能力，</w:t>
      </w:r>
      <w:r>
        <w:rPr>
          <w:rFonts w:ascii="宋体" w:hAnsi="宋体" w:hint="eastAsia"/>
        </w:rPr>
        <w:t>能独立从事服装</w:t>
      </w:r>
      <w:r w:rsidRPr="000F7C6A">
        <w:rPr>
          <w:rFonts w:ascii="宋体" w:hAnsi="宋体" w:hint="eastAsia"/>
        </w:rPr>
        <w:t>与服饰</w:t>
      </w:r>
      <w:r>
        <w:rPr>
          <w:rFonts w:ascii="宋体" w:hAnsi="宋体" w:hint="eastAsia"/>
        </w:rPr>
        <w:t>艺术设计、服装品牌商品开发和服装市场营销工作，也能从事相关技术管理、市场管理、贸易、情报、专业教育的高级专业设计管理型人才，</w:t>
      </w:r>
      <w:r w:rsidR="005D276B">
        <w:rPr>
          <w:rFonts w:ascii="宋体" w:hAnsi="宋体" w:hint="eastAsia"/>
        </w:rPr>
        <w:t>能够掌握和借鉴我国传统民族服饰文化，</w:t>
      </w:r>
      <w:r>
        <w:rPr>
          <w:rFonts w:ascii="宋体" w:hAnsi="宋体" w:hint="eastAsia"/>
        </w:rPr>
        <w:t>培养具有高度艺术创造性、市场意识、服装商品开发和组织等综合能力的时装设计和研究的专业人员。</w:t>
      </w:r>
    </w:p>
    <w:p w:rsidR="000F7C6A" w:rsidRDefault="000F7C6A" w:rsidP="000F7C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毕业生适合</w:t>
      </w:r>
      <w:r w:rsidR="008422ED">
        <w:rPr>
          <w:rFonts w:ascii="宋体" w:hAnsi="宋体" w:hint="eastAsia"/>
        </w:rPr>
        <w:t>在纺织</w:t>
      </w:r>
      <w:r w:rsidR="008422ED">
        <w:rPr>
          <w:rFonts w:ascii="宋体" w:hAnsi="宋体" w:hint="eastAsia"/>
          <w:lang w:val="en-GB"/>
        </w:rPr>
        <w:t>、轻工、</w:t>
      </w:r>
      <w:r>
        <w:rPr>
          <w:rFonts w:ascii="宋体" w:hAnsi="宋体" w:hint="eastAsia"/>
        </w:rPr>
        <w:t>服装企业、服饰文化研究</w:t>
      </w:r>
      <w:r w:rsidR="008422ED">
        <w:rPr>
          <w:rFonts w:ascii="宋体" w:hAnsi="宋体" w:hint="eastAsia"/>
        </w:rPr>
        <w:t>机构</w:t>
      </w:r>
      <w:r>
        <w:rPr>
          <w:rFonts w:ascii="宋体" w:hAnsi="宋体" w:hint="eastAsia"/>
        </w:rPr>
        <w:t>、流行情报及时装设计研究机构</w:t>
      </w:r>
      <w:r w:rsidR="008422ED">
        <w:rPr>
          <w:rFonts w:ascii="宋体" w:hAnsi="宋体" w:hint="eastAsia"/>
        </w:rPr>
        <w:t>等企事业单位从事</w:t>
      </w:r>
      <w:r>
        <w:rPr>
          <w:rFonts w:ascii="宋体" w:hAnsi="宋体" w:hint="eastAsia"/>
        </w:rPr>
        <w:t>时装品牌设计</w:t>
      </w:r>
      <w:r w:rsidR="008422ED">
        <w:rPr>
          <w:rFonts w:ascii="宋体" w:hAnsi="宋体" w:hint="eastAsia"/>
        </w:rPr>
        <w:t>、</w:t>
      </w:r>
      <w:r>
        <w:rPr>
          <w:rFonts w:ascii="宋体" w:hAnsi="宋体" w:hint="eastAsia"/>
        </w:rPr>
        <w:t>管理、</w:t>
      </w:r>
      <w:r w:rsidR="008422ED">
        <w:rPr>
          <w:rFonts w:ascii="宋体" w:hAnsi="宋体" w:hint="eastAsia"/>
        </w:rPr>
        <w:t>研究、</w:t>
      </w:r>
      <w:r>
        <w:rPr>
          <w:rFonts w:ascii="宋体" w:hAnsi="宋体" w:hint="eastAsia"/>
        </w:rPr>
        <w:t>时装广告及展示设计等工作</w:t>
      </w:r>
      <w:r w:rsidR="008422ED">
        <w:rPr>
          <w:rFonts w:ascii="宋体" w:hAnsi="宋体" w:hint="eastAsia"/>
        </w:rPr>
        <w:t>，也可从事服装与服饰设计的教学工作</w:t>
      </w:r>
      <w:r>
        <w:rPr>
          <w:rFonts w:ascii="宋体" w:hAnsi="宋体" w:hint="eastAsia"/>
        </w:rPr>
        <w:t>。</w:t>
      </w:r>
    </w:p>
    <w:p w:rsidR="00547033" w:rsidRDefault="009F3F86" w:rsidP="00B82F3F">
      <w:pPr>
        <w:spacing w:line="520" w:lineRule="exact"/>
        <w:ind w:firstLineChars="200" w:firstLine="480"/>
        <w:rPr>
          <w:rFonts w:ascii="黑体" w:eastAsia="黑体"/>
          <w:sz w:val="24"/>
        </w:rPr>
      </w:pPr>
      <w:r w:rsidRPr="00B82F3F">
        <w:rPr>
          <w:rFonts w:ascii="黑体" w:eastAsia="黑体" w:hint="eastAsia"/>
          <w:sz w:val="24"/>
        </w:rPr>
        <w:t>二、基本要求</w:t>
      </w:r>
    </w:p>
    <w:p w:rsidR="000F7C6A" w:rsidRDefault="000F7C6A" w:rsidP="00192E3F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1．具有一定文化、心理素质和较高的艺术修养及审美能力，有较好的计算机应用技能和良好的外语和文献阅读能力；</w:t>
      </w:r>
    </w:p>
    <w:p w:rsidR="000F7C6A" w:rsidRDefault="000F7C6A" w:rsidP="00192E3F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2．掌握设计艺术学</w:t>
      </w:r>
      <w:r w:rsidR="005D276B">
        <w:rPr>
          <w:rFonts w:ascii="宋体" w:hAnsi="宋体" w:hint="eastAsia"/>
        </w:rPr>
        <w:t>和美术史，服装艺术</w:t>
      </w:r>
      <w:r>
        <w:rPr>
          <w:rFonts w:ascii="宋体" w:hAnsi="宋体" w:hint="eastAsia"/>
        </w:rPr>
        <w:t>的专业理论和技术，具有独立从事时装艺术创意设计，服装商品企划设计与开发能力；</w:t>
      </w:r>
    </w:p>
    <w:p w:rsidR="000F7C6A" w:rsidRDefault="000F7C6A" w:rsidP="00192E3F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3．具有从事服装流通领域的技术管理能力；</w:t>
      </w:r>
    </w:p>
    <w:p w:rsidR="000F7C6A" w:rsidRDefault="000F7C6A" w:rsidP="00192E3F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4．掌握一定的市场营销管理知识，具有相应的时装市场营销管理，情报分析研究，时装品牌策划商品流通领域的组织管理的初步能力；</w:t>
      </w:r>
    </w:p>
    <w:p w:rsidR="000F7C6A" w:rsidRPr="00192E3F" w:rsidRDefault="000F7C6A" w:rsidP="00192E3F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5．具有从事综合</w:t>
      </w:r>
      <w:r w:rsidR="005D276B">
        <w:rPr>
          <w:rFonts w:ascii="宋体" w:hAnsi="宋体" w:hint="eastAsia"/>
        </w:rPr>
        <w:t>时装</w:t>
      </w:r>
      <w:r>
        <w:rPr>
          <w:rFonts w:ascii="宋体" w:hAnsi="宋体" w:hint="eastAsia"/>
        </w:rPr>
        <w:t>设计的创作能力，以及时装、广告宣传活动及流行杂志的编辑，设计、策划的初步能力。</w:t>
      </w:r>
    </w:p>
    <w:p w:rsidR="00547033" w:rsidRPr="00B82F3F" w:rsidRDefault="00547033" w:rsidP="00B82F3F">
      <w:pPr>
        <w:spacing w:line="520" w:lineRule="exact"/>
        <w:ind w:firstLineChars="200" w:firstLine="480"/>
        <w:rPr>
          <w:rFonts w:ascii="黑体" w:eastAsia="黑体"/>
          <w:sz w:val="24"/>
        </w:rPr>
      </w:pPr>
      <w:r w:rsidRPr="00B82F3F">
        <w:rPr>
          <w:rFonts w:ascii="黑体" w:eastAsia="黑体" w:hint="eastAsia"/>
          <w:sz w:val="24"/>
        </w:rPr>
        <w:t>三、学制</w:t>
      </w:r>
      <w:r w:rsidR="00C565A1">
        <w:rPr>
          <w:rFonts w:ascii="黑体" w:eastAsia="黑体" w:hint="eastAsia"/>
          <w:sz w:val="24"/>
        </w:rPr>
        <w:t>与</w:t>
      </w:r>
      <w:r w:rsidRPr="00B82F3F">
        <w:rPr>
          <w:rFonts w:ascii="黑体" w:eastAsia="黑体" w:hint="eastAsia"/>
          <w:sz w:val="24"/>
        </w:rPr>
        <w:t>修业年限</w:t>
      </w:r>
    </w:p>
    <w:p w:rsidR="00547033" w:rsidRPr="00FF4EC0" w:rsidRDefault="00547033" w:rsidP="00FF4EC0">
      <w:pPr>
        <w:adjustRightInd w:val="0"/>
        <w:snapToGrid w:val="0"/>
        <w:spacing w:line="520" w:lineRule="exact"/>
        <w:ind w:firstLineChars="196" w:firstLine="412"/>
        <w:rPr>
          <w:rFonts w:ascii="宋体" w:hAnsi="宋体"/>
          <w:szCs w:val="21"/>
        </w:rPr>
      </w:pPr>
      <w:r w:rsidRPr="00FF4EC0">
        <w:rPr>
          <w:rFonts w:ascii="宋体" w:hAnsi="宋体" w:hint="eastAsia"/>
          <w:szCs w:val="21"/>
        </w:rPr>
        <w:t>1．基本学制为4年。</w:t>
      </w:r>
    </w:p>
    <w:p w:rsidR="00547033" w:rsidRPr="00A47E96" w:rsidRDefault="00547033" w:rsidP="00FF4EC0">
      <w:pPr>
        <w:adjustRightInd w:val="0"/>
        <w:snapToGrid w:val="0"/>
        <w:spacing w:line="520" w:lineRule="exact"/>
        <w:ind w:firstLineChars="200" w:firstLine="420"/>
        <w:rPr>
          <w:rFonts w:ascii="仿宋_GB2312" w:eastAsia="仿宋_GB2312" w:hAnsi="宋体"/>
          <w:sz w:val="28"/>
          <w:szCs w:val="28"/>
        </w:rPr>
      </w:pPr>
      <w:r w:rsidRPr="00FF4EC0">
        <w:rPr>
          <w:rFonts w:ascii="宋体" w:hAnsi="宋体" w:hint="eastAsia"/>
          <w:szCs w:val="21"/>
        </w:rPr>
        <w:t>2．修业年限可根据学生具体情况适当缩短和延长，学习年限最短为3年，最长不得超过7年。</w:t>
      </w:r>
    </w:p>
    <w:p w:rsidR="00FF4EC0" w:rsidRPr="00B82F3F" w:rsidRDefault="00547033" w:rsidP="00B82F3F">
      <w:pPr>
        <w:spacing w:line="520" w:lineRule="exact"/>
        <w:ind w:firstLineChars="200" w:firstLine="480"/>
        <w:rPr>
          <w:rFonts w:ascii="黑体" w:eastAsia="黑体"/>
          <w:sz w:val="24"/>
        </w:rPr>
      </w:pPr>
      <w:r w:rsidRPr="00B82F3F">
        <w:rPr>
          <w:rFonts w:ascii="黑体" w:eastAsia="黑体" w:hint="eastAsia"/>
          <w:sz w:val="24"/>
        </w:rPr>
        <w:t>四、</w:t>
      </w:r>
      <w:r w:rsidR="009F3F86" w:rsidRPr="00B82F3F">
        <w:rPr>
          <w:rFonts w:ascii="黑体" w:eastAsia="黑体" w:hint="eastAsia"/>
          <w:sz w:val="24"/>
        </w:rPr>
        <w:t>主要课程</w:t>
      </w:r>
    </w:p>
    <w:p w:rsidR="009F3F86" w:rsidRPr="00FF4EC0" w:rsidRDefault="00FF4EC0" w:rsidP="000B7856">
      <w:pPr>
        <w:spacing w:line="520" w:lineRule="exact"/>
        <w:ind w:firstLineChars="196" w:firstLine="413"/>
        <w:outlineLvl w:val="0"/>
        <w:rPr>
          <w:rFonts w:ascii="宋体" w:hAnsi="宋体"/>
          <w:b/>
          <w:szCs w:val="21"/>
        </w:rPr>
      </w:pPr>
      <w:r w:rsidRPr="00FF4EC0">
        <w:rPr>
          <w:rFonts w:ascii="宋体" w:hAnsi="宋体" w:hint="eastAsia"/>
          <w:b/>
          <w:szCs w:val="21"/>
        </w:rPr>
        <w:t>1.</w:t>
      </w:r>
      <w:r w:rsidR="009F3F86" w:rsidRPr="00FF4EC0">
        <w:rPr>
          <w:rFonts w:ascii="宋体" w:hAnsi="宋体" w:hint="eastAsia"/>
          <w:b/>
          <w:szCs w:val="21"/>
        </w:rPr>
        <w:t>学科（专业）基础课程：</w:t>
      </w:r>
      <w:r w:rsidR="001E2E05" w:rsidRPr="001E2E05">
        <w:rPr>
          <w:rFonts w:ascii="宋体" w:hAnsi="宋体" w:hint="eastAsia"/>
          <w:szCs w:val="21"/>
        </w:rPr>
        <w:t>时装画</w:t>
      </w:r>
      <w:r w:rsidR="001E2E05">
        <w:rPr>
          <w:rFonts w:ascii="宋体" w:hAnsi="宋体" w:hint="eastAsia"/>
          <w:szCs w:val="21"/>
        </w:rPr>
        <w:t>技法、设计基础、中外服</w:t>
      </w:r>
      <w:r w:rsidR="00F56FE6">
        <w:rPr>
          <w:rFonts w:ascii="宋体" w:hAnsi="宋体" w:hint="eastAsia"/>
          <w:szCs w:val="21"/>
        </w:rPr>
        <w:t>装史、技能表达、品牌模拟、服装形态设计、服饰图案、黎锦元素设计</w:t>
      </w:r>
      <w:r w:rsidR="004E317F">
        <w:rPr>
          <w:rFonts w:ascii="宋体" w:hAnsi="宋体" w:hint="eastAsia"/>
          <w:szCs w:val="21"/>
        </w:rPr>
        <w:t>、服装专题设计</w:t>
      </w:r>
      <w:r w:rsidR="001E2E05">
        <w:rPr>
          <w:rFonts w:ascii="宋体" w:hAnsi="宋体" w:hint="eastAsia"/>
          <w:szCs w:val="21"/>
        </w:rPr>
        <w:t>。</w:t>
      </w:r>
    </w:p>
    <w:p w:rsidR="009F3F86" w:rsidRPr="00FF4EC0" w:rsidRDefault="00FF4EC0" w:rsidP="00FF4EC0">
      <w:pPr>
        <w:spacing w:line="520" w:lineRule="exact"/>
        <w:ind w:firstLineChars="190" w:firstLine="401"/>
        <w:outlineLvl w:val="0"/>
        <w:rPr>
          <w:rFonts w:ascii="宋体" w:hAnsi="宋体"/>
          <w:b/>
          <w:szCs w:val="21"/>
        </w:rPr>
      </w:pPr>
      <w:r w:rsidRPr="00FF4EC0">
        <w:rPr>
          <w:rFonts w:ascii="宋体" w:hAnsi="宋体" w:hint="eastAsia"/>
          <w:b/>
          <w:szCs w:val="21"/>
        </w:rPr>
        <w:t>2.</w:t>
      </w:r>
      <w:r w:rsidR="009F3F86" w:rsidRPr="00FF4EC0">
        <w:rPr>
          <w:rFonts w:ascii="宋体" w:hAnsi="宋体" w:hint="eastAsia"/>
          <w:b/>
          <w:szCs w:val="21"/>
        </w:rPr>
        <w:t>专业核心课程：</w:t>
      </w:r>
      <w:r w:rsidR="001E2E05">
        <w:rPr>
          <w:rFonts w:ascii="宋体" w:hAnsi="宋体" w:hint="eastAsia"/>
          <w:szCs w:val="21"/>
        </w:rPr>
        <w:t>设计基础、技能表达、品牌模拟、服装形态设计。</w:t>
      </w:r>
    </w:p>
    <w:p w:rsidR="00FE48D3" w:rsidRDefault="00FE48D3" w:rsidP="00B82F3F">
      <w:pPr>
        <w:spacing w:line="520" w:lineRule="exact"/>
        <w:ind w:firstLineChars="200" w:firstLine="480"/>
        <w:rPr>
          <w:rFonts w:ascii="黑体" w:eastAsia="黑体"/>
          <w:sz w:val="24"/>
        </w:rPr>
      </w:pPr>
    </w:p>
    <w:p w:rsidR="00FE48D3" w:rsidRDefault="00FE48D3" w:rsidP="00B82F3F">
      <w:pPr>
        <w:spacing w:line="520" w:lineRule="exact"/>
        <w:ind w:firstLineChars="200" w:firstLine="480"/>
        <w:rPr>
          <w:rFonts w:ascii="黑体" w:eastAsia="黑体"/>
          <w:sz w:val="24"/>
        </w:rPr>
      </w:pPr>
    </w:p>
    <w:p w:rsidR="009F3F86" w:rsidRPr="00B82F3F" w:rsidRDefault="009F3F86" w:rsidP="00B82F3F">
      <w:pPr>
        <w:spacing w:line="520" w:lineRule="exact"/>
        <w:ind w:firstLineChars="200" w:firstLine="480"/>
        <w:rPr>
          <w:rFonts w:ascii="黑体" w:eastAsia="黑体"/>
          <w:sz w:val="24"/>
        </w:rPr>
      </w:pPr>
      <w:r w:rsidRPr="00B82F3F">
        <w:rPr>
          <w:rFonts w:ascii="黑体" w:eastAsia="黑体" w:hint="eastAsia"/>
          <w:sz w:val="24"/>
        </w:rPr>
        <w:t>五、各类课程学分分配</w:t>
      </w:r>
    </w:p>
    <w:tbl>
      <w:tblPr>
        <w:tblStyle w:val="a7"/>
        <w:tblW w:w="8941" w:type="dxa"/>
        <w:jc w:val="center"/>
        <w:tblLook w:val="01E0" w:firstRow="1" w:lastRow="1" w:firstColumn="1" w:lastColumn="1" w:noHBand="0" w:noVBand="0"/>
      </w:tblPr>
      <w:tblGrid>
        <w:gridCol w:w="3089"/>
        <w:gridCol w:w="1240"/>
        <w:gridCol w:w="972"/>
        <w:gridCol w:w="973"/>
        <w:gridCol w:w="1158"/>
        <w:gridCol w:w="1509"/>
      </w:tblGrid>
      <w:tr w:rsidR="00472775" w:rsidRPr="005C2E25">
        <w:trPr>
          <w:trHeight w:val="70"/>
          <w:jc w:val="center"/>
        </w:trPr>
        <w:tc>
          <w:tcPr>
            <w:tcW w:w="3089" w:type="dxa"/>
            <w:vAlign w:val="center"/>
          </w:tcPr>
          <w:p w:rsidR="00472775" w:rsidRPr="00472775" w:rsidRDefault="00472775" w:rsidP="007E66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472775">
              <w:rPr>
                <w:rFonts w:ascii="宋体" w:hAnsi="宋体" w:hint="eastAsia"/>
                <w:b/>
                <w:szCs w:val="21"/>
              </w:rPr>
              <w:t>课程类别</w:t>
            </w:r>
          </w:p>
        </w:tc>
        <w:tc>
          <w:tcPr>
            <w:tcW w:w="1240" w:type="dxa"/>
            <w:vAlign w:val="center"/>
          </w:tcPr>
          <w:p w:rsidR="00472775" w:rsidRPr="00472775" w:rsidRDefault="00472775" w:rsidP="007E66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472775">
              <w:rPr>
                <w:rFonts w:ascii="宋体" w:hAnsi="宋体" w:hint="eastAsia"/>
                <w:b/>
                <w:szCs w:val="21"/>
              </w:rPr>
              <w:t>课程性质</w:t>
            </w:r>
          </w:p>
        </w:tc>
        <w:tc>
          <w:tcPr>
            <w:tcW w:w="1945" w:type="dxa"/>
            <w:gridSpan w:val="2"/>
            <w:vAlign w:val="center"/>
          </w:tcPr>
          <w:p w:rsidR="00472775" w:rsidRPr="00472775" w:rsidRDefault="00472775" w:rsidP="007E66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472775">
              <w:rPr>
                <w:rFonts w:ascii="宋体" w:hAnsi="宋体" w:hint="eastAsia"/>
                <w:b/>
                <w:szCs w:val="21"/>
              </w:rPr>
              <w:t>学分数</w:t>
            </w:r>
          </w:p>
        </w:tc>
        <w:tc>
          <w:tcPr>
            <w:tcW w:w="2667" w:type="dxa"/>
            <w:gridSpan w:val="2"/>
            <w:vAlign w:val="center"/>
          </w:tcPr>
          <w:p w:rsidR="00472775" w:rsidRPr="00472775" w:rsidRDefault="00472775" w:rsidP="007E66A6">
            <w:pPr>
              <w:jc w:val="center"/>
              <w:rPr>
                <w:rFonts w:ascii="宋体" w:hAnsi="宋体"/>
                <w:b/>
                <w:szCs w:val="21"/>
              </w:rPr>
            </w:pPr>
            <w:r w:rsidRPr="00472775">
              <w:rPr>
                <w:rFonts w:ascii="宋体" w:hAnsi="宋体" w:hint="eastAsia"/>
                <w:b/>
                <w:szCs w:val="21"/>
              </w:rPr>
              <w:t>分布比例</w:t>
            </w:r>
            <w:r w:rsidR="00C565A1">
              <w:rPr>
                <w:rFonts w:ascii="宋体" w:hAnsi="宋体" w:hint="eastAsia"/>
                <w:b/>
                <w:szCs w:val="21"/>
              </w:rPr>
              <w:t>（不保留小数点）</w:t>
            </w:r>
          </w:p>
        </w:tc>
      </w:tr>
      <w:tr w:rsidR="00C407BE" w:rsidRPr="005C2E25">
        <w:trPr>
          <w:trHeight w:hRule="exact" w:val="454"/>
          <w:jc w:val="center"/>
        </w:trPr>
        <w:tc>
          <w:tcPr>
            <w:tcW w:w="3089" w:type="dxa"/>
            <w:vMerge w:val="restart"/>
            <w:vAlign w:val="center"/>
          </w:tcPr>
          <w:p w:rsidR="00C407BE" w:rsidRPr="00472775" w:rsidRDefault="00C407BE" w:rsidP="007E66A6">
            <w:pPr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通识教育课程</w:t>
            </w:r>
          </w:p>
        </w:tc>
        <w:tc>
          <w:tcPr>
            <w:tcW w:w="1240" w:type="dxa"/>
            <w:vAlign w:val="center"/>
          </w:tcPr>
          <w:p w:rsidR="00C407BE" w:rsidRPr="00472775" w:rsidRDefault="00C407BE" w:rsidP="007E66A6">
            <w:pPr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972" w:type="dxa"/>
            <w:vAlign w:val="center"/>
          </w:tcPr>
          <w:p w:rsidR="00C407BE" w:rsidRPr="003D5A88" w:rsidRDefault="00455FD0" w:rsidP="0065533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41</w:t>
            </w:r>
          </w:p>
        </w:tc>
        <w:tc>
          <w:tcPr>
            <w:tcW w:w="973" w:type="dxa"/>
            <w:vMerge w:val="restart"/>
            <w:vAlign w:val="center"/>
          </w:tcPr>
          <w:p w:rsidR="00C407BE" w:rsidRPr="003D5A88" w:rsidRDefault="00455FD0" w:rsidP="003D5A8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4</w:t>
            </w:r>
            <w:r w:rsidR="003D5A88" w:rsidRPr="003D5A88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158" w:type="dxa"/>
            <w:vAlign w:val="center"/>
          </w:tcPr>
          <w:p w:rsidR="00C407BE" w:rsidRPr="008811C1" w:rsidRDefault="00696361" w:rsidP="00655339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23%</w:t>
            </w:r>
          </w:p>
        </w:tc>
        <w:tc>
          <w:tcPr>
            <w:tcW w:w="1509" w:type="dxa"/>
            <w:vMerge w:val="restart"/>
            <w:vAlign w:val="center"/>
          </w:tcPr>
          <w:p w:rsidR="00C407BE" w:rsidRPr="008811C1" w:rsidRDefault="00696361" w:rsidP="007E66A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27%</w:t>
            </w:r>
          </w:p>
        </w:tc>
      </w:tr>
      <w:tr w:rsidR="00C407BE" w:rsidRPr="005C2E25">
        <w:trPr>
          <w:trHeight w:hRule="exact" w:val="454"/>
          <w:jc w:val="center"/>
        </w:trPr>
        <w:tc>
          <w:tcPr>
            <w:tcW w:w="3089" w:type="dxa"/>
            <w:vMerge/>
            <w:vAlign w:val="center"/>
          </w:tcPr>
          <w:p w:rsidR="00C407BE" w:rsidRPr="00472775" w:rsidRDefault="00C407BE" w:rsidP="007E6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C407BE" w:rsidRPr="00472775" w:rsidRDefault="00C407BE" w:rsidP="007E66A6">
            <w:pPr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972" w:type="dxa"/>
            <w:vAlign w:val="center"/>
          </w:tcPr>
          <w:p w:rsidR="00C407BE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973" w:type="dxa"/>
            <w:vMerge/>
            <w:vAlign w:val="center"/>
          </w:tcPr>
          <w:p w:rsidR="00C407BE" w:rsidRPr="003D5A88" w:rsidRDefault="00C407BE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C407BE" w:rsidRPr="008811C1" w:rsidRDefault="00696361" w:rsidP="007E66A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3%</w:t>
            </w:r>
          </w:p>
        </w:tc>
        <w:tc>
          <w:tcPr>
            <w:tcW w:w="1509" w:type="dxa"/>
            <w:vMerge/>
            <w:vAlign w:val="center"/>
          </w:tcPr>
          <w:p w:rsidR="00C407BE" w:rsidRPr="008811C1" w:rsidRDefault="00C407BE" w:rsidP="007E66A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031FAC" w:rsidRPr="005C2E25">
        <w:trPr>
          <w:trHeight w:hRule="exact" w:val="454"/>
          <w:jc w:val="center"/>
        </w:trPr>
        <w:tc>
          <w:tcPr>
            <w:tcW w:w="3089" w:type="dxa"/>
            <w:vAlign w:val="center"/>
          </w:tcPr>
          <w:p w:rsidR="00031FAC" w:rsidRPr="00472775" w:rsidRDefault="00031FAC" w:rsidP="007E66A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学科（专业）基础课程</w:t>
            </w:r>
          </w:p>
        </w:tc>
        <w:tc>
          <w:tcPr>
            <w:tcW w:w="1240" w:type="dxa"/>
            <w:vAlign w:val="center"/>
          </w:tcPr>
          <w:p w:rsidR="00031FAC" w:rsidRPr="00472775" w:rsidRDefault="00031FAC" w:rsidP="007E66A6">
            <w:pPr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972" w:type="dxa"/>
            <w:vAlign w:val="center"/>
          </w:tcPr>
          <w:p w:rsidR="00031FAC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973" w:type="dxa"/>
            <w:vAlign w:val="center"/>
          </w:tcPr>
          <w:p w:rsidR="00031FAC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1158" w:type="dxa"/>
            <w:vAlign w:val="center"/>
          </w:tcPr>
          <w:p w:rsidR="00031FAC" w:rsidRPr="008811C1" w:rsidRDefault="00696361" w:rsidP="007E66A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17%</w:t>
            </w:r>
          </w:p>
        </w:tc>
        <w:tc>
          <w:tcPr>
            <w:tcW w:w="1509" w:type="dxa"/>
            <w:vAlign w:val="center"/>
          </w:tcPr>
          <w:p w:rsidR="00031FAC" w:rsidRPr="008811C1" w:rsidRDefault="00696361" w:rsidP="00EB3BD9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17%</w:t>
            </w:r>
          </w:p>
        </w:tc>
      </w:tr>
      <w:tr w:rsidR="00031FAC" w:rsidRPr="005C2E25">
        <w:trPr>
          <w:trHeight w:hRule="exact" w:val="454"/>
          <w:jc w:val="center"/>
        </w:trPr>
        <w:tc>
          <w:tcPr>
            <w:tcW w:w="3089" w:type="dxa"/>
            <w:vMerge w:val="restart"/>
            <w:vAlign w:val="center"/>
          </w:tcPr>
          <w:p w:rsidR="00031FAC" w:rsidRPr="00472775" w:rsidRDefault="00031FAC" w:rsidP="007E66A6">
            <w:pPr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专业核心课程与拓展课程</w:t>
            </w:r>
          </w:p>
        </w:tc>
        <w:tc>
          <w:tcPr>
            <w:tcW w:w="1240" w:type="dxa"/>
            <w:vAlign w:val="center"/>
          </w:tcPr>
          <w:p w:rsidR="00031FAC" w:rsidRPr="00472775" w:rsidRDefault="00031FAC" w:rsidP="007E66A6">
            <w:pPr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972" w:type="dxa"/>
            <w:vAlign w:val="center"/>
          </w:tcPr>
          <w:p w:rsidR="00031FAC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51</w:t>
            </w:r>
          </w:p>
        </w:tc>
        <w:tc>
          <w:tcPr>
            <w:tcW w:w="973" w:type="dxa"/>
            <w:vAlign w:val="center"/>
          </w:tcPr>
          <w:p w:rsidR="00031FAC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51</w:t>
            </w:r>
          </w:p>
        </w:tc>
        <w:tc>
          <w:tcPr>
            <w:tcW w:w="1158" w:type="dxa"/>
            <w:vAlign w:val="center"/>
          </w:tcPr>
          <w:p w:rsidR="00031FAC" w:rsidRPr="008811C1" w:rsidRDefault="00696361" w:rsidP="007E66A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41%</w:t>
            </w:r>
          </w:p>
        </w:tc>
        <w:tc>
          <w:tcPr>
            <w:tcW w:w="1509" w:type="dxa"/>
            <w:vAlign w:val="center"/>
          </w:tcPr>
          <w:p w:rsidR="00031FAC" w:rsidRPr="008811C1" w:rsidRDefault="00696361" w:rsidP="00EB3BD9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41%</w:t>
            </w:r>
          </w:p>
        </w:tc>
      </w:tr>
      <w:tr w:rsidR="00031FAC" w:rsidRPr="005C2E25">
        <w:trPr>
          <w:trHeight w:hRule="exact" w:val="454"/>
          <w:jc w:val="center"/>
        </w:trPr>
        <w:tc>
          <w:tcPr>
            <w:tcW w:w="3089" w:type="dxa"/>
            <w:vMerge/>
            <w:vAlign w:val="center"/>
          </w:tcPr>
          <w:p w:rsidR="00031FAC" w:rsidRPr="00472775" w:rsidRDefault="00031FAC" w:rsidP="007E6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031FAC" w:rsidRPr="00472775" w:rsidRDefault="00031FAC" w:rsidP="007E66A6">
            <w:pPr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972" w:type="dxa"/>
            <w:vAlign w:val="center"/>
          </w:tcPr>
          <w:p w:rsidR="00031FAC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973" w:type="dxa"/>
            <w:vAlign w:val="center"/>
          </w:tcPr>
          <w:p w:rsidR="00031FAC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158" w:type="dxa"/>
            <w:vAlign w:val="center"/>
          </w:tcPr>
          <w:p w:rsidR="00031FAC" w:rsidRPr="008811C1" w:rsidRDefault="00696361" w:rsidP="007E66A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2%</w:t>
            </w:r>
          </w:p>
        </w:tc>
        <w:tc>
          <w:tcPr>
            <w:tcW w:w="1509" w:type="dxa"/>
            <w:vAlign w:val="center"/>
          </w:tcPr>
          <w:p w:rsidR="00031FAC" w:rsidRPr="008811C1" w:rsidRDefault="00696361" w:rsidP="00EB3BD9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2%</w:t>
            </w:r>
          </w:p>
        </w:tc>
      </w:tr>
      <w:tr w:rsidR="00031FAC" w:rsidRPr="005C2E25">
        <w:trPr>
          <w:trHeight w:hRule="exact" w:val="454"/>
          <w:jc w:val="center"/>
        </w:trPr>
        <w:tc>
          <w:tcPr>
            <w:tcW w:w="3089" w:type="dxa"/>
            <w:vAlign w:val="center"/>
          </w:tcPr>
          <w:p w:rsidR="00031FAC" w:rsidRPr="00472775" w:rsidRDefault="00031FAC" w:rsidP="007E66A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实践课程（</w:t>
            </w:r>
            <w:r>
              <w:rPr>
                <w:rFonts w:ascii="宋体" w:hAnsi="宋体" w:hint="eastAsia"/>
                <w:szCs w:val="21"/>
              </w:rPr>
              <w:t>不包括课内实践</w:t>
            </w:r>
            <w:r w:rsidRPr="0047277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40" w:type="dxa"/>
            <w:vAlign w:val="center"/>
          </w:tcPr>
          <w:p w:rsidR="00031FAC" w:rsidRPr="00472775" w:rsidRDefault="00031FAC" w:rsidP="007E66A6">
            <w:pPr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972" w:type="dxa"/>
            <w:vAlign w:val="center"/>
          </w:tcPr>
          <w:p w:rsidR="00031FAC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973" w:type="dxa"/>
            <w:vAlign w:val="center"/>
          </w:tcPr>
          <w:p w:rsidR="00031FAC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1158" w:type="dxa"/>
            <w:vAlign w:val="center"/>
          </w:tcPr>
          <w:p w:rsidR="00031FAC" w:rsidRPr="008811C1" w:rsidRDefault="00696361" w:rsidP="007E66A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13%</w:t>
            </w:r>
          </w:p>
        </w:tc>
        <w:tc>
          <w:tcPr>
            <w:tcW w:w="1509" w:type="dxa"/>
            <w:vAlign w:val="center"/>
          </w:tcPr>
          <w:p w:rsidR="00031FAC" w:rsidRPr="008811C1" w:rsidRDefault="00696361" w:rsidP="00EB3BD9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13%</w:t>
            </w:r>
          </w:p>
        </w:tc>
      </w:tr>
      <w:tr w:rsidR="00031FAC" w:rsidRPr="005C2E25">
        <w:trPr>
          <w:trHeight w:hRule="exact" w:val="454"/>
          <w:jc w:val="center"/>
        </w:trPr>
        <w:tc>
          <w:tcPr>
            <w:tcW w:w="3089" w:type="dxa"/>
            <w:vMerge w:val="restart"/>
            <w:vAlign w:val="center"/>
          </w:tcPr>
          <w:p w:rsidR="00031FAC" w:rsidRPr="00472775" w:rsidRDefault="00031FAC" w:rsidP="007E66A6">
            <w:pPr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240" w:type="dxa"/>
            <w:vAlign w:val="center"/>
          </w:tcPr>
          <w:p w:rsidR="00031FAC" w:rsidRPr="00472775" w:rsidRDefault="00031FAC" w:rsidP="007E66A6">
            <w:pPr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972" w:type="dxa"/>
            <w:vAlign w:val="center"/>
          </w:tcPr>
          <w:p w:rsidR="00031FAC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135</w:t>
            </w:r>
          </w:p>
        </w:tc>
        <w:tc>
          <w:tcPr>
            <w:tcW w:w="973" w:type="dxa"/>
            <w:vMerge w:val="restart"/>
            <w:vAlign w:val="center"/>
          </w:tcPr>
          <w:p w:rsidR="00031FAC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148</w:t>
            </w:r>
          </w:p>
        </w:tc>
        <w:tc>
          <w:tcPr>
            <w:tcW w:w="1158" w:type="dxa"/>
            <w:vAlign w:val="center"/>
          </w:tcPr>
          <w:p w:rsidR="00031FAC" w:rsidRPr="008811C1" w:rsidRDefault="00696361" w:rsidP="007E66A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94%</w:t>
            </w:r>
          </w:p>
        </w:tc>
        <w:tc>
          <w:tcPr>
            <w:tcW w:w="1509" w:type="dxa"/>
            <w:vMerge w:val="restart"/>
            <w:vAlign w:val="center"/>
          </w:tcPr>
          <w:p w:rsidR="00031FAC" w:rsidRPr="008811C1" w:rsidRDefault="00696361" w:rsidP="007E66A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100%</w:t>
            </w:r>
          </w:p>
        </w:tc>
      </w:tr>
      <w:tr w:rsidR="00031FAC" w:rsidRPr="005C2E25">
        <w:trPr>
          <w:trHeight w:hRule="exact" w:val="454"/>
          <w:jc w:val="center"/>
        </w:trPr>
        <w:tc>
          <w:tcPr>
            <w:tcW w:w="3089" w:type="dxa"/>
            <w:vMerge/>
            <w:vAlign w:val="center"/>
          </w:tcPr>
          <w:p w:rsidR="00031FAC" w:rsidRPr="00472775" w:rsidRDefault="00031FAC" w:rsidP="007E66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031FAC" w:rsidRPr="00472775" w:rsidRDefault="00031FAC" w:rsidP="007E66A6">
            <w:pPr>
              <w:jc w:val="center"/>
              <w:rPr>
                <w:rFonts w:ascii="宋体" w:hAnsi="宋体"/>
                <w:szCs w:val="21"/>
              </w:rPr>
            </w:pPr>
            <w:r w:rsidRPr="00472775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972" w:type="dxa"/>
            <w:vAlign w:val="center"/>
          </w:tcPr>
          <w:p w:rsidR="00031FAC" w:rsidRPr="003D5A88" w:rsidRDefault="003D5A88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D5A88"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973" w:type="dxa"/>
            <w:vMerge/>
            <w:vAlign w:val="center"/>
          </w:tcPr>
          <w:p w:rsidR="00031FAC" w:rsidRPr="003D5A88" w:rsidRDefault="00031FAC" w:rsidP="007E66A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31FAC" w:rsidRPr="008811C1" w:rsidRDefault="00696361" w:rsidP="007E66A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8811C1">
              <w:rPr>
                <w:rFonts w:ascii="仿宋_GB2312" w:eastAsia="仿宋_GB2312" w:hAnsi="宋体" w:hint="eastAsia"/>
                <w:color w:val="FF0000"/>
                <w:szCs w:val="21"/>
              </w:rPr>
              <w:t>6%</w:t>
            </w:r>
          </w:p>
        </w:tc>
        <w:tc>
          <w:tcPr>
            <w:tcW w:w="1509" w:type="dxa"/>
            <w:vMerge/>
            <w:vAlign w:val="center"/>
          </w:tcPr>
          <w:p w:rsidR="00031FAC" w:rsidRPr="005C2E25" w:rsidRDefault="00031FAC" w:rsidP="007E66A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7D7A2D" w:rsidRPr="00B82F3F" w:rsidRDefault="00FF4EC0" w:rsidP="00B82F3F">
      <w:pPr>
        <w:spacing w:line="520" w:lineRule="exact"/>
        <w:ind w:firstLineChars="200" w:firstLine="480"/>
        <w:rPr>
          <w:rFonts w:ascii="黑体" w:eastAsia="黑体"/>
          <w:sz w:val="24"/>
          <w:szCs w:val="28"/>
        </w:rPr>
      </w:pPr>
      <w:r w:rsidRPr="00B82F3F">
        <w:rPr>
          <w:rFonts w:ascii="黑体" w:eastAsia="黑体" w:hint="eastAsia"/>
          <w:sz w:val="24"/>
        </w:rPr>
        <w:t>六、毕业学分要求及学士学位授予条件</w:t>
      </w:r>
    </w:p>
    <w:p w:rsidR="00A442A2" w:rsidRDefault="00A442A2" w:rsidP="00C565A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cs="宋体"/>
          <w:kern w:val="0"/>
          <w:szCs w:val="21"/>
        </w:rPr>
      </w:pPr>
      <w:r w:rsidRPr="00FF4EC0">
        <w:rPr>
          <w:rFonts w:ascii="宋体" w:hAnsi="宋体" w:hint="eastAsia"/>
          <w:bCs/>
          <w:szCs w:val="21"/>
        </w:rPr>
        <w:t>修完本专业计划规定的所有课程，</w:t>
      </w:r>
      <w:r w:rsidRPr="008811C1">
        <w:rPr>
          <w:rFonts w:ascii="宋体" w:hAnsi="宋体" w:hint="eastAsia"/>
          <w:bCs/>
          <w:color w:val="FF0000"/>
          <w:szCs w:val="21"/>
        </w:rPr>
        <w:t>获得</w:t>
      </w:r>
      <w:r w:rsidR="003D5A88">
        <w:rPr>
          <w:rFonts w:ascii="宋体" w:hAnsi="宋体" w:hint="eastAsia"/>
          <w:bCs/>
          <w:color w:val="FF0000"/>
          <w:szCs w:val="21"/>
        </w:rPr>
        <w:t>148</w:t>
      </w:r>
      <w:r w:rsidRPr="008811C1">
        <w:rPr>
          <w:rFonts w:ascii="宋体" w:hAnsi="宋体" w:hint="eastAsia"/>
          <w:bCs/>
          <w:color w:val="FF0000"/>
          <w:szCs w:val="21"/>
        </w:rPr>
        <w:t>学分，其中通识教育课程</w:t>
      </w:r>
      <w:r w:rsidR="003D5A88">
        <w:rPr>
          <w:rFonts w:ascii="宋体" w:hAnsi="宋体" w:hint="eastAsia"/>
          <w:bCs/>
          <w:color w:val="FF0000"/>
          <w:szCs w:val="21"/>
        </w:rPr>
        <w:t>44</w:t>
      </w:r>
      <w:r w:rsidRPr="008811C1">
        <w:rPr>
          <w:rFonts w:ascii="宋体" w:hAnsi="宋体" w:hint="eastAsia"/>
          <w:bCs/>
          <w:color w:val="FF0000"/>
          <w:szCs w:val="21"/>
        </w:rPr>
        <w:t>学分，学科（专业）基础课程</w:t>
      </w:r>
      <w:r w:rsidR="003D5A88">
        <w:rPr>
          <w:rFonts w:ascii="宋体" w:hAnsi="宋体" w:hint="eastAsia"/>
          <w:bCs/>
          <w:color w:val="FF0000"/>
          <w:szCs w:val="21"/>
        </w:rPr>
        <w:t>22</w:t>
      </w:r>
      <w:r w:rsidRPr="008811C1">
        <w:rPr>
          <w:rFonts w:ascii="宋体" w:hAnsi="宋体" w:hint="eastAsia"/>
          <w:bCs/>
          <w:color w:val="FF0000"/>
          <w:szCs w:val="21"/>
        </w:rPr>
        <w:t>学分，专业核心课程与拓展课程</w:t>
      </w:r>
      <w:r w:rsidR="003D5A88">
        <w:rPr>
          <w:rFonts w:ascii="宋体" w:hAnsi="宋体" w:hint="eastAsia"/>
          <w:bCs/>
          <w:color w:val="FF0000"/>
          <w:szCs w:val="21"/>
        </w:rPr>
        <w:t>61</w:t>
      </w:r>
      <w:r w:rsidRPr="008811C1">
        <w:rPr>
          <w:rFonts w:ascii="宋体" w:hAnsi="宋体" w:hint="eastAsia"/>
          <w:bCs/>
          <w:color w:val="FF0000"/>
          <w:szCs w:val="21"/>
        </w:rPr>
        <w:t>学分</w:t>
      </w:r>
      <w:r w:rsidR="008A77DC" w:rsidRPr="008811C1">
        <w:rPr>
          <w:rFonts w:ascii="宋体" w:hAnsi="宋体" w:hint="eastAsia"/>
          <w:bCs/>
          <w:color w:val="FF0000"/>
          <w:szCs w:val="21"/>
        </w:rPr>
        <w:t>，</w:t>
      </w:r>
      <w:r w:rsidRPr="008811C1">
        <w:rPr>
          <w:rFonts w:ascii="宋体" w:hAnsi="宋体" w:hint="eastAsia"/>
          <w:bCs/>
          <w:color w:val="FF0000"/>
          <w:szCs w:val="21"/>
        </w:rPr>
        <w:t>实践课程</w:t>
      </w:r>
      <w:r w:rsidR="003D5A88">
        <w:rPr>
          <w:rFonts w:ascii="宋体" w:hAnsi="宋体" w:hint="eastAsia"/>
          <w:bCs/>
          <w:color w:val="FF0000"/>
          <w:szCs w:val="21"/>
        </w:rPr>
        <w:t>21</w:t>
      </w:r>
      <w:r w:rsidRPr="008811C1">
        <w:rPr>
          <w:rFonts w:ascii="宋体" w:hAnsi="宋体" w:hint="eastAsia"/>
          <w:bCs/>
          <w:color w:val="FF0000"/>
          <w:szCs w:val="21"/>
        </w:rPr>
        <w:t>学分，</w:t>
      </w:r>
      <w:r>
        <w:rPr>
          <w:rFonts w:ascii="宋体" w:hAnsi="宋体" w:hint="eastAsia"/>
          <w:bCs/>
          <w:szCs w:val="21"/>
        </w:rPr>
        <w:t>即可毕业，</w:t>
      </w:r>
      <w:r>
        <w:rPr>
          <w:rFonts w:ascii="宋体" w:cs="宋体" w:hint="eastAsia"/>
          <w:kern w:val="0"/>
          <w:szCs w:val="21"/>
        </w:rPr>
        <w:t>发给</w:t>
      </w:r>
      <w:r w:rsidR="00AF0B63">
        <w:rPr>
          <w:rFonts w:ascii="宋体" w:hAnsi="宋体" w:hint="eastAsia"/>
          <w:bCs/>
          <w:szCs w:val="21"/>
        </w:rPr>
        <w:t>服装与</w:t>
      </w:r>
      <w:r w:rsidR="001D5AF6">
        <w:rPr>
          <w:rFonts w:ascii="宋体" w:hAnsi="宋体" w:hint="eastAsia"/>
          <w:bCs/>
          <w:szCs w:val="21"/>
        </w:rPr>
        <w:t>服饰设计</w:t>
      </w:r>
      <w:r w:rsidR="006969AE">
        <w:rPr>
          <w:rFonts w:ascii="宋体" w:hAnsi="宋体" w:hint="eastAsia"/>
          <w:bCs/>
          <w:szCs w:val="21"/>
        </w:rPr>
        <w:t>专业</w:t>
      </w:r>
      <w:r>
        <w:rPr>
          <w:rFonts w:ascii="宋体" w:cs="宋体" w:hint="eastAsia"/>
          <w:kern w:val="0"/>
          <w:szCs w:val="21"/>
        </w:rPr>
        <w:t>毕业证书。</w:t>
      </w:r>
      <w:bookmarkStart w:id="0" w:name="_GoBack"/>
      <w:bookmarkEnd w:id="0"/>
    </w:p>
    <w:p w:rsidR="00A442A2" w:rsidRDefault="00A442A2" w:rsidP="00C565A1">
      <w:pPr>
        <w:spacing w:line="360" w:lineRule="auto"/>
        <w:ind w:firstLine="482"/>
      </w:pPr>
      <w:r>
        <w:rPr>
          <w:rFonts w:ascii="宋体" w:cs="宋体" w:hint="eastAsia"/>
          <w:kern w:val="0"/>
          <w:szCs w:val="21"/>
        </w:rPr>
        <w:t>符合《中华人民共和国学位授予条例》</w:t>
      </w:r>
      <w:r>
        <w:rPr>
          <w:rFonts w:ascii="宋体" w:hAnsi="宋体" w:hint="eastAsia"/>
          <w:bCs/>
          <w:szCs w:val="21"/>
        </w:rPr>
        <w:t>和</w:t>
      </w:r>
      <w:r w:rsidRPr="00FF4EC0">
        <w:rPr>
          <w:rFonts w:ascii="宋体" w:hAnsi="宋体" w:hint="eastAsia"/>
          <w:bCs/>
          <w:szCs w:val="21"/>
        </w:rPr>
        <w:t>《海南师范大学关于授予学士学位的若干规定》，可</w:t>
      </w:r>
      <w:r>
        <w:rPr>
          <w:rFonts w:ascii="宋体" w:hAnsi="宋体" w:hint="eastAsia"/>
          <w:bCs/>
          <w:szCs w:val="21"/>
        </w:rPr>
        <w:t>授予</w:t>
      </w:r>
      <w:r w:rsidR="008773C3">
        <w:rPr>
          <w:rFonts w:ascii="宋体" w:hAnsi="宋体" w:hint="eastAsia"/>
          <w:bCs/>
          <w:szCs w:val="21"/>
        </w:rPr>
        <w:t>艺术学学士</w:t>
      </w:r>
      <w:r w:rsidRPr="00FF4EC0">
        <w:rPr>
          <w:rFonts w:ascii="宋体" w:hAnsi="宋体" w:hint="eastAsia"/>
          <w:bCs/>
          <w:szCs w:val="21"/>
        </w:rPr>
        <w:t>学位。</w:t>
      </w:r>
      <w:r>
        <w:rPr>
          <w:rFonts w:hint="eastAsia"/>
        </w:rPr>
        <w:t xml:space="preserve"> </w:t>
      </w:r>
    </w:p>
    <w:p w:rsidR="00E32CF6" w:rsidRDefault="00E32CF6" w:rsidP="00E32CF6">
      <w:pPr>
        <w:spacing w:line="360" w:lineRule="auto"/>
        <w:ind w:firstLine="482"/>
      </w:pPr>
      <w:r>
        <w:rPr>
          <w:rFonts w:ascii="黑体" w:eastAsia="黑体" w:hint="eastAsia"/>
          <w:sz w:val="24"/>
        </w:rPr>
        <w:t>七、课程设置（附件4）</w:t>
      </w:r>
    </w:p>
    <w:p w:rsidR="00E32CF6" w:rsidRDefault="00E32CF6" w:rsidP="00C565A1">
      <w:pPr>
        <w:spacing w:line="360" w:lineRule="auto"/>
        <w:ind w:firstLine="482"/>
      </w:pPr>
    </w:p>
    <w:sectPr w:rsidR="00E32CF6" w:rsidSect="00E94745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5E" w:rsidRDefault="00922B5E">
      <w:r>
        <w:separator/>
      </w:r>
    </w:p>
  </w:endnote>
  <w:endnote w:type="continuationSeparator" w:id="0">
    <w:p w:rsidR="00922B5E" w:rsidRDefault="0092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5E" w:rsidRDefault="00922B5E">
      <w:r>
        <w:separator/>
      </w:r>
    </w:p>
  </w:footnote>
  <w:footnote w:type="continuationSeparator" w:id="0">
    <w:p w:rsidR="00922B5E" w:rsidRDefault="0092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ED" w:rsidRDefault="00344EED" w:rsidP="00CB1D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33"/>
    <w:rsid w:val="00031FAC"/>
    <w:rsid w:val="0005027E"/>
    <w:rsid w:val="000B7856"/>
    <w:rsid w:val="000B7F93"/>
    <w:rsid w:val="000F7C6A"/>
    <w:rsid w:val="001019BB"/>
    <w:rsid w:val="00117654"/>
    <w:rsid w:val="00175B34"/>
    <w:rsid w:val="00192E3F"/>
    <w:rsid w:val="001C7060"/>
    <w:rsid w:val="001D5AF6"/>
    <w:rsid w:val="001E2E05"/>
    <w:rsid w:val="001F4E2B"/>
    <w:rsid w:val="00270FD6"/>
    <w:rsid w:val="00273FE6"/>
    <w:rsid w:val="00283C56"/>
    <w:rsid w:val="002977ED"/>
    <w:rsid w:val="002A03FF"/>
    <w:rsid w:val="002A6057"/>
    <w:rsid w:val="002B76CF"/>
    <w:rsid w:val="002D5229"/>
    <w:rsid w:val="002F21A8"/>
    <w:rsid w:val="002F373A"/>
    <w:rsid w:val="00332DC4"/>
    <w:rsid w:val="00344EED"/>
    <w:rsid w:val="003622F4"/>
    <w:rsid w:val="003D5A88"/>
    <w:rsid w:val="003D7345"/>
    <w:rsid w:val="00454726"/>
    <w:rsid w:val="00455FD0"/>
    <w:rsid w:val="00456EBB"/>
    <w:rsid w:val="00472775"/>
    <w:rsid w:val="00486EE7"/>
    <w:rsid w:val="004E317F"/>
    <w:rsid w:val="004E3755"/>
    <w:rsid w:val="004E4FCD"/>
    <w:rsid w:val="0050748F"/>
    <w:rsid w:val="00547033"/>
    <w:rsid w:val="005735A1"/>
    <w:rsid w:val="00592B95"/>
    <w:rsid w:val="0059596F"/>
    <w:rsid w:val="005C75A2"/>
    <w:rsid w:val="005D2067"/>
    <w:rsid w:val="005D276B"/>
    <w:rsid w:val="00626256"/>
    <w:rsid w:val="006402C4"/>
    <w:rsid w:val="00641BAB"/>
    <w:rsid w:val="00655339"/>
    <w:rsid w:val="00665839"/>
    <w:rsid w:val="0067137D"/>
    <w:rsid w:val="006729BD"/>
    <w:rsid w:val="0068257E"/>
    <w:rsid w:val="00696361"/>
    <w:rsid w:val="006969AE"/>
    <w:rsid w:val="006B280C"/>
    <w:rsid w:val="00711E62"/>
    <w:rsid w:val="007152C9"/>
    <w:rsid w:val="00721284"/>
    <w:rsid w:val="007328AB"/>
    <w:rsid w:val="00751ABC"/>
    <w:rsid w:val="00761705"/>
    <w:rsid w:val="0077309B"/>
    <w:rsid w:val="007B7155"/>
    <w:rsid w:val="007D2C3E"/>
    <w:rsid w:val="007D2D50"/>
    <w:rsid w:val="007D7A2D"/>
    <w:rsid w:val="007E66A6"/>
    <w:rsid w:val="007F14E9"/>
    <w:rsid w:val="008002AC"/>
    <w:rsid w:val="008422ED"/>
    <w:rsid w:val="008773C3"/>
    <w:rsid w:val="008811C1"/>
    <w:rsid w:val="00883765"/>
    <w:rsid w:val="00885847"/>
    <w:rsid w:val="008A5B9A"/>
    <w:rsid w:val="008A77DC"/>
    <w:rsid w:val="008B21C0"/>
    <w:rsid w:val="008C0BA9"/>
    <w:rsid w:val="008E345C"/>
    <w:rsid w:val="008E60B4"/>
    <w:rsid w:val="00922B5E"/>
    <w:rsid w:val="00932714"/>
    <w:rsid w:val="0095043E"/>
    <w:rsid w:val="009765D1"/>
    <w:rsid w:val="009C3367"/>
    <w:rsid w:val="009F3F86"/>
    <w:rsid w:val="009F5DB7"/>
    <w:rsid w:val="00A40C86"/>
    <w:rsid w:val="00A442A2"/>
    <w:rsid w:val="00A65F08"/>
    <w:rsid w:val="00A825E8"/>
    <w:rsid w:val="00A8488F"/>
    <w:rsid w:val="00AA3C52"/>
    <w:rsid w:val="00AC6625"/>
    <w:rsid w:val="00AF0B63"/>
    <w:rsid w:val="00B82F3F"/>
    <w:rsid w:val="00BB0304"/>
    <w:rsid w:val="00BB3D62"/>
    <w:rsid w:val="00BE28F7"/>
    <w:rsid w:val="00BE46EA"/>
    <w:rsid w:val="00BE5932"/>
    <w:rsid w:val="00BF6C6A"/>
    <w:rsid w:val="00C11CE4"/>
    <w:rsid w:val="00C13AA5"/>
    <w:rsid w:val="00C407BE"/>
    <w:rsid w:val="00C565A1"/>
    <w:rsid w:val="00CB1DAC"/>
    <w:rsid w:val="00CB28CE"/>
    <w:rsid w:val="00CE7226"/>
    <w:rsid w:val="00CF3DC5"/>
    <w:rsid w:val="00D106CB"/>
    <w:rsid w:val="00D22746"/>
    <w:rsid w:val="00D522B9"/>
    <w:rsid w:val="00D641C1"/>
    <w:rsid w:val="00D97C1D"/>
    <w:rsid w:val="00DF6C1E"/>
    <w:rsid w:val="00E023AD"/>
    <w:rsid w:val="00E32CF6"/>
    <w:rsid w:val="00E86A99"/>
    <w:rsid w:val="00E94745"/>
    <w:rsid w:val="00EB3BD9"/>
    <w:rsid w:val="00ED5A26"/>
    <w:rsid w:val="00F15B10"/>
    <w:rsid w:val="00F25800"/>
    <w:rsid w:val="00F56FE6"/>
    <w:rsid w:val="00F828ED"/>
    <w:rsid w:val="00F84612"/>
    <w:rsid w:val="00FB3DE7"/>
    <w:rsid w:val="00FD032D"/>
    <w:rsid w:val="00FD66CC"/>
    <w:rsid w:val="00FE48D3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0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47033"/>
    <w:pPr>
      <w:spacing w:after="120" w:line="480" w:lineRule="auto"/>
      <w:ind w:leftChars="200" w:left="420"/>
    </w:pPr>
  </w:style>
  <w:style w:type="paragraph" w:styleId="a3">
    <w:name w:val="header"/>
    <w:basedOn w:val="a"/>
    <w:rsid w:val="00CB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B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9F3F86"/>
    <w:pPr>
      <w:spacing w:after="120"/>
      <w:ind w:leftChars="200" w:left="420"/>
    </w:pPr>
  </w:style>
  <w:style w:type="paragraph" w:customStyle="1" w:styleId="CharChar">
    <w:name w:val="Char Char"/>
    <w:autoRedefine/>
    <w:rsid w:val="009F3F86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6">
    <w:name w:val="Date"/>
    <w:basedOn w:val="a"/>
    <w:next w:val="a"/>
    <w:rsid w:val="0095043E"/>
  </w:style>
  <w:style w:type="table" w:styleId="a7">
    <w:name w:val="Table Grid"/>
    <w:basedOn w:val="a1"/>
    <w:rsid w:val="009504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autoRedefine/>
    <w:rsid w:val="008773C3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0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47033"/>
    <w:pPr>
      <w:spacing w:after="120" w:line="480" w:lineRule="auto"/>
      <w:ind w:leftChars="200" w:left="420"/>
    </w:pPr>
  </w:style>
  <w:style w:type="paragraph" w:styleId="a3">
    <w:name w:val="header"/>
    <w:basedOn w:val="a"/>
    <w:rsid w:val="00CB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B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9F3F86"/>
    <w:pPr>
      <w:spacing w:after="120"/>
      <w:ind w:leftChars="200" w:left="420"/>
    </w:pPr>
  </w:style>
  <w:style w:type="paragraph" w:customStyle="1" w:styleId="CharChar">
    <w:name w:val="Char Char"/>
    <w:autoRedefine/>
    <w:rsid w:val="009F3F86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6">
    <w:name w:val="Date"/>
    <w:basedOn w:val="a"/>
    <w:next w:val="a"/>
    <w:rsid w:val="0095043E"/>
  </w:style>
  <w:style w:type="table" w:styleId="a7">
    <w:name w:val="Table Grid"/>
    <w:basedOn w:val="a1"/>
    <w:rsid w:val="009504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autoRedefine/>
    <w:rsid w:val="008773C3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991</Words>
  <Characters>135</Characters>
  <Application>Microsoft Office Word</Application>
  <DocSecurity>0</DocSecurity>
  <Lines>1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海南师范大学××专业培养计划</dc:title>
  <dc:creator>kalos</dc:creator>
  <cp:lastModifiedBy>kalos</cp:lastModifiedBy>
  <cp:revision>5</cp:revision>
  <cp:lastPrinted>2013-04-22T09:13:00Z</cp:lastPrinted>
  <dcterms:created xsi:type="dcterms:W3CDTF">2016-09-27T15:40:00Z</dcterms:created>
  <dcterms:modified xsi:type="dcterms:W3CDTF">2016-10-19T05:31:00Z</dcterms:modified>
</cp:coreProperties>
</file>